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A2EDB" w14:textId="0DE42AB2" w:rsidR="003A0B8C" w:rsidRPr="004238CA" w:rsidRDefault="00303BD6" w:rsidP="00C5029A">
      <w:pPr>
        <w:spacing w:line="264" w:lineRule="auto"/>
        <w:rPr>
          <w:rFonts w:cs="Arial"/>
          <w:b/>
          <w:color w:val="009BFD" w:themeColor="accent1"/>
          <w:sz w:val="28"/>
          <w:szCs w:val="28"/>
        </w:rPr>
      </w:pPr>
      <w:bookmarkStart w:id="0" w:name="_Toc464058068"/>
      <w:r w:rsidRPr="004238CA">
        <w:rPr>
          <w:rFonts w:cs="Arial"/>
          <w:b/>
          <w:color w:val="009BFD" w:themeColor="accent1"/>
          <w:sz w:val="28"/>
          <w:szCs w:val="28"/>
        </w:rPr>
        <w:t xml:space="preserve">South Africa </w:t>
      </w:r>
      <w:r w:rsidR="00C5029A" w:rsidRPr="004238CA">
        <w:rPr>
          <w:rFonts w:cs="Arial"/>
          <w:b/>
          <w:color w:val="009BFD" w:themeColor="accent1"/>
          <w:sz w:val="28"/>
          <w:szCs w:val="28"/>
        </w:rPr>
        <w:t xml:space="preserve">Profile </w:t>
      </w:r>
      <w:bookmarkEnd w:id="0"/>
      <w:r w:rsidR="00C5029A" w:rsidRPr="004238CA">
        <w:rPr>
          <w:rFonts w:cs="Arial"/>
          <w:b/>
          <w:color w:val="009BFD" w:themeColor="accent1"/>
          <w:sz w:val="28"/>
          <w:szCs w:val="28"/>
        </w:rPr>
        <w:t xml:space="preserve">Summary </w:t>
      </w:r>
      <w:r w:rsidR="003A0B8C" w:rsidRPr="004238CA">
        <w:rPr>
          <w:rFonts w:cs="Arial"/>
          <w:b/>
          <w:color w:val="009BFD" w:themeColor="accent1"/>
          <w:sz w:val="28"/>
          <w:szCs w:val="28"/>
        </w:rPr>
        <w:t xml:space="preserve"> </w:t>
      </w:r>
    </w:p>
    <w:p w14:paraId="56471AF1" w14:textId="77777777" w:rsidR="00D22261" w:rsidRPr="0032647D" w:rsidRDefault="00D22261" w:rsidP="005826CA">
      <w:pPr>
        <w:pStyle w:val="NoSpacing"/>
        <w:spacing w:line="264" w:lineRule="auto"/>
        <w:jc w:val="both"/>
        <w:rPr>
          <w:rFonts w:ascii="Arial" w:hAnsi="Arial" w:cs="Arial"/>
          <w:sz w:val="20"/>
        </w:rPr>
      </w:pPr>
    </w:p>
    <w:p w14:paraId="645487EA" w14:textId="19F7F0FB" w:rsidR="009A2592" w:rsidRPr="0032647D" w:rsidRDefault="00D22261" w:rsidP="004238CA">
      <w:pPr>
        <w:spacing w:line="264" w:lineRule="auto"/>
        <w:jc w:val="both"/>
        <w:rPr>
          <w:rFonts w:cs="Arial"/>
          <w:sz w:val="20"/>
        </w:rPr>
      </w:pPr>
      <w:r w:rsidRPr="0032647D">
        <w:rPr>
          <w:rFonts w:cs="Arial"/>
          <w:sz w:val="20"/>
          <w:lang w:val="en-GB"/>
        </w:rPr>
        <w:t xml:space="preserve">South Africa </w:t>
      </w:r>
      <w:r w:rsidR="00C5029A">
        <w:rPr>
          <w:rFonts w:cs="Arial"/>
          <w:sz w:val="20"/>
          <w:lang w:val="en-GB"/>
        </w:rPr>
        <w:t xml:space="preserve">is home to </w:t>
      </w:r>
      <w:r w:rsidRPr="0032647D">
        <w:rPr>
          <w:rFonts w:cs="Arial"/>
          <w:sz w:val="20"/>
          <w:lang w:val="en-GB"/>
        </w:rPr>
        <w:t>nearly 55 million people, with 19.7 million children under the age of 18 years.</w:t>
      </w:r>
      <w:r w:rsidR="0023201B" w:rsidRPr="0032647D">
        <w:rPr>
          <w:rStyle w:val="FootnoteReference"/>
          <w:rFonts w:cs="Arial"/>
          <w:lang w:val="en-GB"/>
        </w:rPr>
        <w:footnoteReference w:id="1"/>
      </w:r>
      <w:r w:rsidR="0023201B" w:rsidRPr="0032647D">
        <w:rPr>
          <w:rFonts w:cs="Arial"/>
          <w:sz w:val="20"/>
          <w:lang w:val="en-GB"/>
        </w:rPr>
        <w:t xml:space="preserve"> </w:t>
      </w:r>
      <w:r w:rsidR="00BE463D" w:rsidRPr="0032647D">
        <w:rPr>
          <w:rFonts w:cs="Arial"/>
          <w:sz w:val="20"/>
          <w:lang w:val="en-GB"/>
        </w:rPr>
        <w:t>With a GNI per capita US$7</w:t>
      </w:r>
      <w:r w:rsidR="00E77AA1" w:rsidRPr="0032647D">
        <w:rPr>
          <w:rFonts w:cs="Arial"/>
          <w:sz w:val="20"/>
          <w:lang w:val="en-GB"/>
        </w:rPr>
        <w:t>,190</w:t>
      </w:r>
      <w:r w:rsidR="00C5029A">
        <w:rPr>
          <w:rFonts w:cs="Arial"/>
          <w:sz w:val="20"/>
          <w:lang w:val="en-GB"/>
        </w:rPr>
        <w:t>,</w:t>
      </w:r>
      <w:r w:rsidR="00BE463D" w:rsidRPr="0032647D">
        <w:rPr>
          <w:rFonts w:cs="Arial"/>
          <w:sz w:val="20"/>
          <w:lang w:val="en-GB"/>
        </w:rPr>
        <w:t xml:space="preserve"> </w:t>
      </w:r>
      <w:r w:rsidR="0023201B" w:rsidRPr="0032647D">
        <w:rPr>
          <w:rFonts w:cs="Arial"/>
          <w:sz w:val="20"/>
          <w:lang w:val="en-GB"/>
        </w:rPr>
        <w:t xml:space="preserve">South Africa is ranked as a middle-income country and its economy is the second largest on the </w:t>
      </w:r>
      <w:r w:rsidR="009624A4" w:rsidRPr="0032647D">
        <w:rPr>
          <w:rFonts w:cs="Arial"/>
          <w:sz w:val="20"/>
          <w:lang w:val="en-GB"/>
        </w:rPr>
        <w:t xml:space="preserve">African </w:t>
      </w:r>
      <w:r w:rsidR="0023201B" w:rsidRPr="0032647D">
        <w:rPr>
          <w:rFonts w:cs="Arial"/>
          <w:sz w:val="20"/>
          <w:lang w:val="en-GB"/>
        </w:rPr>
        <w:t>contine</w:t>
      </w:r>
      <w:r w:rsidR="009624A4" w:rsidRPr="0032647D">
        <w:rPr>
          <w:rFonts w:cs="Arial"/>
          <w:sz w:val="20"/>
          <w:lang w:val="en-GB"/>
        </w:rPr>
        <w:t>nt</w:t>
      </w:r>
      <w:r w:rsidR="0023201B" w:rsidRPr="0032647D">
        <w:rPr>
          <w:rFonts w:cs="Arial"/>
          <w:sz w:val="20"/>
          <w:lang w:val="en-GB"/>
        </w:rPr>
        <w:t xml:space="preserve">. Indeed, the economy is very vibrant, but not for all. One in four working-age South Africans, some 5.5 </w:t>
      </w:r>
      <w:r w:rsidR="009624A4" w:rsidRPr="0032647D">
        <w:rPr>
          <w:rFonts w:cs="Arial"/>
          <w:sz w:val="20"/>
          <w:lang w:val="en-GB"/>
        </w:rPr>
        <w:t xml:space="preserve">million people, are unemployed. </w:t>
      </w:r>
      <w:r w:rsidR="0023201B" w:rsidRPr="0032647D">
        <w:rPr>
          <w:rFonts w:cs="Arial"/>
          <w:sz w:val="20"/>
          <w:lang w:val="en-GB"/>
        </w:rPr>
        <w:t>Youth unemployment is particularly high with 1 in 3 young people aged 15 to 24 years neither in employment nor in education or training.</w:t>
      </w:r>
      <w:r w:rsidR="0023201B" w:rsidRPr="0032647D">
        <w:rPr>
          <w:rStyle w:val="FootnoteReference"/>
          <w:rFonts w:cs="Arial"/>
          <w:lang w:val="en-GB"/>
        </w:rPr>
        <w:footnoteReference w:id="2"/>
      </w:r>
      <w:r w:rsidR="004238CA">
        <w:rPr>
          <w:rFonts w:cs="Arial"/>
          <w:sz w:val="20"/>
          <w:lang w:val="en-GB"/>
        </w:rPr>
        <w:t xml:space="preserve">  </w:t>
      </w:r>
      <w:r w:rsidR="0023201B" w:rsidRPr="0032647D">
        <w:rPr>
          <w:rFonts w:eastAsia="Calibri" w:cs="Arial"/>
          <w:sz w:val="20"/>
        </w:rPr>
        <w:t>South Africa’s middle-income status masks extreme inequality in i</w:t>
      </w:r>
      <w:r w:rsidR="00124E35" w:rsidRPr="0032647D">
        <w:rPr>
          <w:rFonts w:eastAsia="Calibri" w:cs="Arial"/>
          <w:sz w:val="20"/>
        </w:rPr>
        <w:t>ncome and access to opportunity</w:t>
      </w:r>
      <w:r w:rsidR="000A61C6" w:rsidRPr="0032647D">
        <w:rPr>
          <w:rFonts w:cs="Arial"/>
          <w:sz w:val="20"/>
        </w:rPr>
        <w:t>. The gap between rich and poor is vast.</w:t>
      </w:r>
      <w:r w:rsidR="000A61C6" w:rsidRPr="0032647D">
        <w:rPr>
          <w:rFonts w:eastAsia="Calibri" w:cs="Arial"/>
          <w:sz w:val="20"/>
        </w:rPr>
        <w:t xml:space="preserve"> </w:t>
      </w:r>
      <w:r w:rsidR="000A61C6" w:rsidRPr="0032647D">
        <w:rPr>
          <w:rFonts w:cs="Arial"/>
          <w:sz w:val="20"/>
        </w:rPr>
        <w:t>Deep poverty is widespread with the poorest 10 per cent of the population receiving less than 0.6 per cent of the country’s total income, while the richest 10 per cent receive more than half of the national income (57 per cent).</w:t>
      </w:r>
      <w:r w:rsidR="000A61C6" w:rsidRPr="0032647D">
        <w:rPr>
          <w:rStyle w:val="FootnoteReference"/>
          <w:rFonts w:cs="Arial"/>
        </w:rPr>
        <w:footnoteReference w:id="3"/>
      </w:r>
      <w:r w:rsidR="000A61C6" w:rsidRPr="0032647D">
        <w:rPr>
          <w:rFonts w:cs="Arial"/>
          <w:sz w:val="20"/>
        </w:rPr>
        <w:t xml:space="preserve"> </w:t>
      </w:r>
    </w:p>
    <w:p w14:paraId="04BE196E" w14:textId="77777777" w:rsidR="009A2592" w:rsidRPr="0032647D" w:rsidRDefault="009A2592" w:rsidP="000A61C6">
      <w:pPr>
        <w:pStyle w:val="NoSpacing"/>
        <w:spacing w:line="264" w:lineRule="auto"/>
        <w:jc w:val="both"/>
        <w:rPr>
          <w:rFonts w:ascii="Arial" w:hAnsi="Arial" w:cs="Arial"/>
          <w:sz w:val="20"/>
        </w:rPr>
      </w:pPr>
    </w:p>
    <w:p w14:paraId="19C922A2" w14:textId="15D4049B" w:rsidR="00467B55" w:rsidRPr="004238CA" w:rsidRDefault="00330CD7" w:rsidP="00C51EF0">
      <w:pPr>
        <w:pStyle w:val="Heading4"/>
        <w:spacing w:after="0"/>
        <w:rPr>
          <w:b/>
          <w:color w:val="009BFD" w:themeColor="accent1"/>
        </w:rPr>
      </w:pPr>
      <w:r w:rsidRPr="004238CA">
        <w:rPr>
          <w:b/>
          <w:color w:val="009BFD" w:themeColor="accent1"/>
        </w:rPr>
        <w:t>Early Childhood Development Centres</w:t>
      </w:r>
      <w:r w:rsidR="00DB520B" w:rsidRPr="004238CA">
        <w:rPr>
          <w:b/>
          <w:color w:val="009BFD" w:themeColor="accent1"/>
        </w:rPr>
        <w:t xml:space="preserve"> and Grade R</w:t>
      </w:r>
    </w:p>
    <w:p w14:paraId="1241FCAF" w14:textId="77777777" w:rsidR="00467B55" w:rsidRPr="0032647D" w:rsidRDefault="00467B55" w:rsidP="00C51EF0">
      <w:pPr>
        <w:pStyle w:val="Heading4"/>
        <w:spacing w:after="0"/>
      </w:pPr>
    </w:p>
    <w:p w14:paraId="28C4A393" w14:textId="23CCAC99" w:rsidR="0023201B" w:rsidRPr="0032647D" w:rsidRDefault="0023201B" w:rsidP="00C51EF0">
      <w:pPr>
        <w:spacing w:line="264" w:lineRule="auto"/>
        <w:jc w:val="both"/>
        <w:rPr>
          <w:rFonts w:cs="Arial"/>
          <w:sz w:val="20"/>
          <w:szCs w:val="20"/>
          <w:lang w:val="en-GB"/>
        </w:rPr>
      </w:pPr>
      <w:r w:rsidRPr="0032647D">
        <w:rPr>
          <w:rFonts w:cs="Arial"/>
          <w:sz w:val="20"/>
          <w:szCs w:val="20"/>
          <w:lang w:val="en-GB"/>
        </w:rPr>
        <w:t>Progress ha</w:t>
      </w:r>
      <w:r w:rsidR="0015214B" w:rsidRPr="0032647D">
        <w:rPr>
          <w:rFonts w:cs="Arial"/>
          <w:sz w:val="20"/>
          <w:szCs w:val="20"/>
          <w:lang w:val="en-GB"/>
        </w:rPr>
        <w:t>s been made in the provision of</w:t>
      </w:r>
      <w:r w:rsidR="00F268FE" w:rsidRPr="0032647D">
        <w:rPr>
          <w:rFonts w:cs="Arial"/>
          <w:sz w:val="20"/>
          <w:szCs w:val="20"/>
          <w:lang w:val="en-GB"/>
        </w:rPr>
        <w:t xml:space="preserve"> </w:t>
      </w:r>
      <w:r w:rsidRPr="0032647D">
        <w:rPr>
          <w:rFonts w:cs="Arial"/>
          <w:sz w:val="20"/>
          <w:szCs w:val="20"/>
          <w:lang w:val="en-GB"/>
        </w:rPr>
        <w:t xml:space="preserve">early </w:t>
      </w:r>
      <w:r w:rsidR="00DB520B" w:rsidRPr="0032647D">
        <w:rPr>
          <w:rFonts w:cs="Arial"/>
          <w:sz w:val="20"/>
          <w:szCs w:val="20"/>
          <w:lang w:val="en-GB"/>
        </w:rPr>
        <w:t xml:space="preserve">ECD </w:t>
      </w:r>
      <w:r w:rsidR="00F268FE" w:rsidRPr="0032647D">
        <w:rPr>
          <w:rFonts w:cs="Arial"/>
          <w:sz w:val="20"/>
          <w:szCs w:val="20"/>
          <w:lang w:val="en-GB"/>
        </w:rPr>
        <w:t>programmes.</w:t>
      </w:r>
      <w:r w:rsidRPr="0032647D">
        <w:rPr>
          <w:rStyle w:val="FootnoteReference"/>
          <w:rFonts w:cs="Arial"/>
          <w:sz w:val="20"/>
          <w:szCs w:val="20"/>
          <w:lang w:val="en-GB"/>
        </w:rPr>
        <w:footnoteReference w:id="4"/>
      </w:r>
      <w:r w:rsidR="00F268FE" w:rsidRPr="0032647D">
        <w:rPr>
          <w:rFonts w:cs="Arial"/>
          <w:sz w:val="20"/>
          <w:szCs w:val="20"/>
          <w:lang w:val="en-GB"/>
        </w:rPr>
        <w:t xml:space="preserve"> </w:t>
      </w:r>
      <w:r w:rsidRPr="0032647D">
        <w:rPr>
          <w:rFonts w:cs="Arial"/>
          <w:sz w:val="20"/>
          <w:szCs w:val="20"/>
          <w:lang w:val="en-GB"/>
        </w:rPr>
        <w:t xml:space="preserve">In 2001, </w:t>
      </w:r>
      <w:r w:rsidR="000A5459" w:rsidRPr="0032647D">
        <w:rPr>
          <w:rFonts w:cs="Arial"/>
          <w:sz w:val="20"/>
          <w:szCs w:val="20"/>
          <w:lang w:val="en-GB"/>
        </w:rPr>
        <w:t xml:space="preserve">less than one sixth </w:t>
      </w:r>
      <w:r w:rsidRPr="0032647D">
        <w:rPr>
          <w:rFonts w:cs="Arial"/>
          <w:sz w:val="20"/>
          <w:szCs w:val="20"/>
          <w:lang w:val="en-GB"/>
        </w:rPr>
        <w:t xml:space="preserve">of the 6.4 </w:t>
      </w:r>
      <w:r w:rsidR="000A5459" w:rsidRPr="0032647D">
        <w:rPr>
          <w:rFonts w:cs="Arial"/>
          <w:sz w:val="20"/>
          <w:szCs w:val="20"/>
          <w:lang w:val="en-GB"/>
        </w:rPr>
        <w:t>million children aged birth to seven</w:t>
      </w:r>
      <w:r w:rsidRPr="0032647D">
        <w:rPr>
          <w:rFonts w:cs="Arial"/>
          <w:sz w:val="20"/>
          <w:szCs w:val="20"/>
          <w:lang w:val="en-GB"/>
        </w:rPr>
        <w:t xml:space="preserve"> years</w:t>
      </w:r>
      <w:r w:rsidR="000A5459" w:rsidRPr="0032647D">
        <w:rPr>
          <w:rFonts w:cs="Arial"/>
          <w:sz w:val="20"/>
          <w:szCs w:val="20"/>
          <w:lang w:val="en-GB"/>
        </w:rPr>
        <w:t>, including nearly half of the five to six year olds, were enrolled in 23 482 centres (of which 64 per cent were fully registered). In</w:t>
      </w:r>
      <w:r w:rsidRPr="0032647D">
        <w:rPr>
          <w:rFonts w:cs="Arial"/>
          <w:sz w:val="20"/>
          <w:szCs w:val="20"/>
          <w:lang w:val="en-GB"/>
        </w:rPr>
        <w:t xml:space="preserve"> 2013/14, that there were 832 763 children enrolled</w:t>
      </w:r>
      <w:r w:rsidR="000A5459" w:rsidRPr="0032647D">
        <w:rPr>
          <w:rFonts w:cs="Arial"/>
          <w:sz w:val="20"/>
          <w:szCs w:val="20"/>
          <w:lang w:val="en-GB"/>
        </w:rPr>
        <w:t xml:space="preserve"> </w:t>
      </w:r>
      <w:r w:rsidRPr="0032647D">
        <w:rPr>
          <w:rFonts w:cs="Arial"/>
          <w:sz w:val="20"/>
          <w:szCs w:val="20"/>
          <w:lang w:val="en-GB"/>
        </w:rPr>
        <w:t>in</w:t>
      </w:r>
      <w:r w:rsidR="00AE1913" w:rsidRPr="0032647D">
        <w:rPr>
          <w:rFonts w:cs="Arial"/>
          <w:sz w:val="20"/>
          <w:szCs w:val="20"/>
          <w:lang w:val="en-GB"/>
        </w:rPr>
        <w:t xml:space="preserve"> the 17 846 centres audited (55 per cent</w:t>
      </w:r>
      <w:r w:rsidRPr="0032647D">
        <w:rPr>
          <w:rFonts w:cs="Arial"/>
          <w:sz w:val="20"/>
          <w:szCs w:val="20"/>
          <w:lang w:val="en-GB"/>
        </w:rPr>
        <w:t xml:space="preserve"> </w:t>
      </w:r>
      <w:r w:rsidR="00AE1913" w:rsidRPr="0032647D">
        <w:rPr>
          <w:rFonts w:cs="Arial"/>
          <w:sz w:val="20"/>
          <w:szCs w:val="20"/>
          <w:lang w:val="en-GB"/>
        </w:rPr>
        <w:t>in fully registered centres, 12 per cent</w:t>
      </w:r>
      <w:r w:rsidRPr="0032647D">
        <w:rPr>
          <w:rFonts w:cs="Arial"/>
          <w:sz w:val="20"/>
          <w:szCs w:val="20"/>
          <w:lang w:val="en-GB"/>
        </w:rPr>
        <w:t xml:space="preserve"> in conditio</w:t>
      </w:r>
      <w:r w:rsidR="00AE1913" w:rsidRPr="0032647D">
        <w:rPr>
          <w:rFonts w:cs="Arial"/>
          <w:sz w:val="20"/>
          <w:szCs w:val="20"/>
          <w:lang w:val="en-GB"/>
        </w:rPr>
        <w:t>nally registered centres and 33 per cent</w:t>
      </w:r>
      <w:r w:rsidR="000A5459" w:rsidRPr="0032647D">
        <w:rPr>
          <w:rFonts w:cs="Arial"/>
          <w:sz w:val="20"/>
          <w:szCs w:val="20"/>
          <w:lang w:val="en-GB"/>
        </w:rPr>
        <w:t xml:space="preserve"> unregistered centres). </w:t>
      </w:r>
      <w:r w:rsidRPr="0032647D">
        <w:rPr>
          <w:rFonts w:cs="Arial"/>
          <w:sz w:val="20"/>
          <w:szCs w:val="20"/>
          <w:lang w:val="en-GB"/>
        </w:rPr>
        <w:t>A more in-depth analysis of the latter, shows that in 2013/14, more tha</w:t>
      </w:r>
      <w:r w:rsidR="00AE1913" w:rsidRPr="0032647D">
        <w:rPr>
          <w:rFonts w:cs="Arial"/>
          <w:sz w:val="20"/>
          <w:szCs w:val="20"/>
          <w:lang w:val="en-GB"/>
        </w:rPr>
        <w:t>n half (51 per cent</w:t>
      </w:r>
      <w:r w:rsidRPr="0032647D">
        <w:rPr>
          <w:rFonts w:cs="Arial"/>
          <w:sz w:val="20"/>
          <w:szCs w:val="20"/>
          <w:lang w:val="en-GB"/>
        </w:rPr>
        <w:t>) of conditionally registered centres were in rural villag</w:t>
      </w:r>
      <w:r w:rsidR="00AE1913" w:rsidRPr="0032647D">
        <w:rPr>
          <w:rFonts w:cs="Arial"/>
          <w:sz w:val="20"/>
          <w:szCs w:val="20"/>
          <w:lang w:val="en-GB"/>
        </w:rPr>
        <w:t>es and the nearly one third (32 per cent</w:t>
      </w:r>
      <w:r w:rsidRPr="0032647D">
        <w:rPr>
          <w:rFonts w:cs="Arial"/>
          <w:sz w:val="20"/>
          <w:szCs w:val="20"/>
          <w:lang w:val="en-GB"/>
        </w:rPr>
        <w:t>) (largest proportion) of unregistered centres were located in townships.</w:t>
      </w:r>
    </w:p>
    <w:p w14:paraId="1AC4042A" w14:textId="77777777" w:rsidR="0023201B" w:rsidRPr="0032647D" w:rsidRDefault="0023201B" w:rsidP="00C51EF0">
      <w:pPr>
        <w:spacing w:line="264" w:lineRule="auto"/>
        <w:jc w:val="both"/>
        <w:rPr>
          <w:rFonts w:cs="Arial"/>
          <w:sz w:val="20"/>
          <w:szCs w:val="20"/>
          <w:lang w:val="en-GB"/>
        </w:rPr>
      </w:pPr>
      <w:r w:rsidRPr="0032647D">
        <w:rPr>
          <w:rFonts w:cs="Arial"/>
          <w:sz w:val="20"/>
          <w:szCs w:val="20"/>
          <w:lang w:val="en-GB"/>
        </w:rPr>
        <w:t xml:space="preserve"> </w:t>
      </w:r>
    </w:p>
    <w:p w14:paraId="6CE076DA" w14:textId="09EC1492" w:rsidR="0023201B" w:rsidRPr="0032647D" w:rsidRDefault="0023201B" w:rsidP="00C51EF0">
      <w:pPr>
        <w:spacing w:line="264" w:lineRule="auto"/>
        <w:jc w:val="both"/>
        <w:rPr>
          <w:rFonts w:cs="Arial"/>
          <w:sz w:val="20"/>
          <w:szCs w:val="20"/>
          <w:lang w:val="en-GB"/>
        </w:rPr>
      </w:pPr>
      <w:r w:rsidRPr="0032647D">
        <w:rPr>
          <w:rFonts w:cs="Arial"/>
          <w:sz w:val="20"/>
          <w:szCs w:val="20"/>
          <w:lang w:val="en-GB"/>
        </w:rPr>
        <w:t xml:space="preserve">Between 2001 and 2013/14 the spatial distribution of </w:t>
      </w:r>
      <w:r w:rsidR="00477847" w:rsidRPr="0032647D">
        <w:rPr>
          <w:rFonts w:cs="Arial"/>
          <w:sz w:val="20"/>
          <w:szCs w:val="20"/>
          <w:lang w:val="en-GB"/>
        </w:rPr>
        <w:t>ECD</w:t>
      </w:r>
      <w:r w:rsidRPr="0032647D">
        <w:rPr>
          <w:rFonts w:cs="Arial"/>
          <w:sz w:val="20"/>
          <w:szCs w:val="20"/>
          <w:lang w:val="en-GB"/>
        </w:rPr>
        <w:t xml:space="preserve"> centres remained largely the same and corresponds to the national population distribution figures and patterns. The urban/rural divide in 2001 was 60 per cent and 40 per cent while in 2013/14 it was 59 per cent and 41 per cent, which shows a marginal cha</w:t>
      </w:r>
      <w:r w:rsidR="000A5459" w:rsidRPr="0032647D">
        <w:rPr>
          <w:rFonts w:cs="Arial"/>
          <w:sz w:val="20"/>
          <w:szCs w:val="20"/>
          <w:lang w:val="en-GB"/>
        </w:rPr>
        <w:t>nge over</w:t>
      </w:r>
      <w:r w:rsidRPr="0032647D">
        <w:rPr>
          <w:rFonts w:cs="Arial"/>
          <w:sz w:val="20"/>
          <w:szCs w:val="20"/>
          <w:lang w:val="en-GB"/>
        </w:rPr>
        <w:t xml:space="preserve"> 12 years, with the majority of </w:t>
      </w:r>
      <w:r w:rsidR="00477847" w:rsidRPr="0032647D">
        <w:rPr>
          <w:rFonts w:cs="Arial"/>
          <w:sz w:val="20"/>
          <w:szCs w:val="20"/>
          <w:lang w:val="en-GB"/>
        </w:rPr>
        <w:t>ECD</w:t>
      </w:r>
      <w:r w:rsidRPr="0032647D">
        <w:rPr>
          <w:rFonts w:cs="Arial"/>
          <w:sz w:val="20"/>
          <w:szCs w:val="20"/>
          <w:lang w:val="en-GB"/>
        </w:rPr>
        <w:t xml:space="preserve"> centres being in urban areas. Similarly, early childhood develo</w:t>
      </w:r>
      <w:r w:rsidR="00751FD0" w:rsidRPr="0032647D">
        <w:rPr>
          <w:rFonts w:cs="Arial"/>
          <w:sz w:val="20"/>
          <w:szCs w:val="20"/>
          <w:lang w:val="en-GB"/>
        </w:rPr>
        <w:t>pment centres increased from 11 per cent</w:t>
      </w:r>
      <w:r w:rsidRPr="0032647D">
        <w:rPr>
          <w:rFonts w:cs="Arial"/>
          <w:sz w:val="20"/>
          <w:szCs w:val="20"/>
          <w:lang w:val="en-GB"/>
        </w:rPr>
        <w:t xml:space="preserve"> in rural </w:t>
      </w:r>
      <w:r w:rsidR="00751FD0" w:rsidRPr="0032647D">
        <w:rPr>
          <w:rFonts w:cs="Arial"/>
          <w:sz w:val="20"/>
          <w:szCs w:val="20"/>
          <w:lang w:val="en-GB"/>
        </w:rPr>
        <w:t>(including farms) in 2001 to 37 per cent</w:t>
      </w:r>
      <w:r w:rsidRPr="0032647D">
        <w:rPr>
          <w:rFonts w:cs="Arial"/>
          <w:sz w:val="20"/>
          <w:szCs w:val="20"/>
          <w:lang w:val="en-GB"/>
        </w:rPr>
        <w:t xml:space="preserve"> in 2013/14. </w:t>
      </w:r>
    </w:p>
    <w:p w14:paraId="7A3C80DA" w14:textId="77777777" w:rsidR="0023201B" w:rsidRPr="0032647D" w:rsidRDefault="0023201B" w:rsidP="005826CA">
      <w:pPr>
        <w:spacing w:line="264" w:lineRule="auto"/>
        <w:jc w:val="both"/>
        <w:rPr>
          <w:rFonts w:cs="Arial"/>
          <w:sz w:val="20"/>
          <w:szCs w:val="20"/>
          <w:lang w:val="en-GB"/>
        </w:rPr>
      </w:pPr>
    </w:p>
    <w:p w14:paraId="3896F350" w14:textId="36F16AA7" w:rsidR="00963314" w:rsidRPr="0032647D" w:rsidRDefault="0023201B" w:rsidP="0010597D">
      <w:pPr>
        <w:spacing w:line="264" w:lineRule="auto"/>
        <w:jc w:val="both"/>
        <w:rPr>
          <w:rFonts w:eastAsia="Times New Roman" w:cs="Arial"/>
          <w:sz w:val="20"/>
          <w:szCs w:val="20"/>
          <w:lang w:val="en-GB"/>
        </w:rPr>
      </w:pPr>
      <w:r w:rsidRPr="0032647D">
        <w:rPr>
          <w:rFonts w:cs="Arial"/>
          <w:sz w:val="20"/>
          <w:szCs w:val="20"/>
          <w:lang w:val="en-GB"/>
        </w:rPr>
        <w:t xml:space="preserve">There was a significant shift in the </w:t>
      </w:r>
      <w:r w:rsidR="00A97E62" w:rsidRPr="0032647D">
        <w:rPr>
          <w:rFonts w:cs="Arial"/>
          <w:sz w:val="20"/>
          <w:szCs w:val="20"/>
          <w:lang w:val="en-GB"/>
        </w:rPr>
        <w:t xml:space="preserve">ECD centres </w:t>
      </w:r>
      <w:r w:rsidRPr="0032647D">
        <w:rPr>
          <w:rFonts w:cs="Arial"/>
          <w:sz w:val="20"/>
          <w:szCs w:val="20"/>
          <w:lang w:val="en-GB"/>
        </w:rPr>
        <w:t xml:space="preserve">sources </w:t>
      </w:r>
      <w:r w:rsidR="00A97E62" w:rsidRPr="0032647D">
        <w:rPr>
          <w:rFonts w:cs="Arial"/>
          <w:sz w:val="20"/>
          <w:szCs w:val="20"/>
          <w:lang w:val="en-GB"/>
        </w:rPr>
        <w:t>funding</w:t>
      </w:r>
      <w:r w:rsidRPr="0032647D">
        <w:rPr>
          <w:rFonts w:cs="Arial"/>
          <w:sz w:val="20"/>
          <w:szCs w:val="20"/>
          <w:lang w:val="en-GB"/>
        </w:rPr>
        <w:t xml:space="preserve"> between 2001 and 2013/14. In 2001</w:t>
      </w:r>
      <w:r w:rsidR="00A97E62" w:rsidRPr="0032647D">
        <w:rPr>
          <w:rFonts w:cs="Arial"/>
          <w:sz w:val="20"/>
          <w:szCs w:val="20"/>
          <w:lang w:val="en-GB"/>
        </w:rPr>
        <w:t>, the primary sources of funding</w:t>
      </w:r>
      <w:r w:rsidRPr="0032647D">
        <w:rPr>
          <w:rFonts w:cs="Arial"/>
          <w:sz w:val="20"/>
          <w:szCs w:val="20"/>
          <w:lang w:val="en-GB"/>
        </w:rPr>
        <w:t xml:space="preserve"> were fees and fundraising, while in 2013/14 the primary s</w:t>
      </w:r>
      <w:r w:rsidR="002562C2" w:rsidRPr="0032647D">
        <w:rPr>
          <w:rFonts w:cs="Arial"/>
          <w:sz w:val="20"/>
          <w:szCs w:val="20"/>
          <w:lang w:val="en-GB"/>
        </w:rPr>
        <w:t xml:space="preserve">ources were fees and subsidies. </w:t>
      </w:r>
      <w:r w:rsidR="00A97E62" w:rsidRPr="0032647D">
        <w:rPr>
          <w:rFonts w:cs="Arial"/>
          <w:sz w:val="20"/>
          <w:szCs w:val="20"/>
          <w:lang w:val="en-GB"/>
        </w:rPr>
        <w:t xml:space="preserve">This indicates that </w:t>
      </w:r>
      <w:r w:rsidRPr="0032647D">
        <w:rPr>
          <w:rFonts w:cs="Arial"/>
          <w:sz w:val="20"/>
          <w:szCs w:val="20"/>
          <w:lang w:val="en-GB"/>
        </w:rPr>
        <w:t>government subsidies</w:t>
      </w:r>
      <w:r w:rsidR="00A97E62" w:rsidRPr="0032647D">
        <w:rPr>
          <w:rFonts w:cs="Arial"/>
          <w:sz w:val="20"/>
          <w:szCs w:val="20"/>
          <w:lang w:val="en-GB"/>
        </w:rPr>
        <w:t xml:space="preserve"> have</w:t>
      </w:r>
      <w:r w:rsidRPr="0032647D">
        <w:rPr>
          <w:rFonts w:cs="Arial"/>
          <w:sz w:val="20"/>
          <w:szCs w:val="20"/>
          <w:lang w:val="en-GB"/>
        </w:rPr>
        <w:t xml:space="preserve"> increasingly become significant sou</w:t>
      </w:r>
      <w:r w:rsidR="00963314" w:rsidRPr="0032647D">
        <w:rPr>
          <w:rFonts w:cs="Arial"/>
          <w:sz w:val="20"/>
          <w:szCs w:val="20"/>
          <w:lang w:val="en-GB"/>
        </w:rPr>
        <w:t xml:space="preserve">rce of </w:t>
      </w:r>
      <w:r w:rsidR="00A97E62" w:rsidRPr="0032647D">
        <w:rPr>
          <w:rFonts w:cs="Arial"/>
          <w:sz w:val="20"/>
          <w:szCs w:val="20"/>
          <w:lang w:val="en-GB"/>
        </w:rPr>
        <w:t>funding</w:t>
      </w:r>
      <w:r w:rsidR="00963314" w:rsidRPr="0032647D">
        <w:rPr>
          <w:rFonts w:cs="Arial"/>
          <w:sz w:val="20"/>
          <w:szCs w:val="20"/>
          <w:lang w:val="en-GB"/>
        </w:rPr>
        <w:t xml:space="preserve"> for programmes in ECD</w:t>
      </w:r>
      <w:r w:rsidRPr="0032647D">
        <w:rPr>
          <w:rFonts w:cs="Arial"/>
          <w:sz w:val="20"/>
          <w:szCs w:val="20"/>
          <w:lang w:val="en-GB"/>
        </w:rPr>
        <w:t xml:space="preserve"> centres.</w:t>
      </w:r>
      <w:r w:rsidR="00A97E62" w:rsidRPr="0032647D">
        <w:rPr>
          <w:rFonts w:cs="Arial"/>
          <w:sz w:val="20"/>
          <w:szCs w:val="20"/>
          <w:lang w:val="en-GB"/>
        </w:rPr>
        <w:t xml:space="preserve"> Despite this trends, m</w:t>
      </w:r>
      <w:r w:rsidR="00963314" w:rsidRPr="0032647D">
        <w:rPr>
          <w:rFonts w:eastAsia="Times New Roman" w:cs="Arial"/>
          <w:sz w:val="20"/>
          <w:szCs w:val="20"/>
          <w:lang w:val="en-GB"/>
        </w:rPr>
        <w:t xml:space="preserve">any parents are deterred from enrolling their children at ECD facilities because of prohibitive costs. The sector is almost entirely self-funded by school fees and donations that are inadequate to build and operate “fit for purpose” facilities, </w:t>
      </w:r>
      <w:r w:rsidR="00963314" w:rsidRPr="00A67517">
        <w:rPr>
          <w:rFonts w:eastAsia="Times New Roman" w:cs="Arial"/>
          <w:sz w:val="20"/>
          <w:szCs w:val="20"/>
          <w:lang w:val="en-GB"/>
        </w:rPr>
        <w:t>whose average monthly fees per child range from R20 to R350.</w:t>
      </w:r>
      <w:r w:rsidR="00A97E62" w:rsidRPr="00A67517">
        <w:rPr>
          <w:rFonts w:eastAsia="Times New Roman" w:cs="Arial"/>
          <w:sz w:val="20"/>
          <w:szCs w:val="20"/>
          <w:lang w:val="en-GB"/>
        </w:rPr>
        <w:t xml:space="preserve"> </w:t>
      </w:r>
      <w:r w:rsidR="00963314" w:rsidRPr="00A67517">
        <w:rPr>
          <w:rFonts w:eastAsia="Times New Roman" w:cs="Arial"/>
          <w:sz w:val="20"/>
          <w:szCs w:val="20"/>
          <w:lang w:val="en-GB"/>
        </w:rPr>
        <w:t xml:space="preserve">Government provides an operational subsidy of R15 a day per indigent pupil, a subsidy restricted to facilities that comply with the norms </w:t>
      </w:r>
      <w:r w:rsidR="00A97E62" w:rsidRPr="00A67517">
        <w:rPr>
          <w:rFonts w:eastAsia="Times New Roman" w:cs="Arial"/>
          <w:sz w:val="20"/>
          <w:szCs w:val="20"/>
          <w:lang w:val="en-GB"/>
        </w:rPr>
        <w:t xml:space="preserve">and standards on infrastructure. </w:t>
      </w:r>
      <w:r w:rsidR="00963314" w:rsidRPr="00A67517">
        <w:rPr>
          <w:rFonts w:eastAsia="Times New Roman" w:cs="Arial"/>
          <w:sz w:val="20"/>
          <w:szCs w:val="20"/>
          <w:lang w:val="en-GB"/>
        </w:rPr>
        <w:t xml:space="preserve">To </w:t>
      </w:r>
      <w:r w:rsidR="00963314" w:rsidRPr="0032647D">
        <w:rPr>
          <w:rFonts w:eastAsia="Times New Roman" w:cs="Arial"/>
          <w:sz w:val="20"/>
          <w:szCs w:val="20"/>
          <w:lang w:val="en-GB"/>
        </w:rPr>
        <w:t xml:space="preserve">qualify for a government operational subsidy, ECD facilities must comply with legislative requirements for adequate basic needs, building design and regulations, and accessibility for children with special needs. </w:t>
      </w:r>
      <w:r w:rsidR="0010597D" w:rsidRPr="0032647D">
        <w:rPr>
          <w:rFonts w:eastAsia="Times New Roman" w:cs="Arial"/>
          <w:sz w:val="20"/>
          <w:szCs w:val="20"/>
          <w:lang w:val="en-GB"/>
        </w:rPr>
        <w:t xml:space="preserve">However, there is no identifiable government programme for financing the construction of new facilities, upgrading and maintaining existing facilities </w:t>
      </w:r>
      <w:r w:rsidR="00963314" w:rsidRPr="0032647D">
        <w:rPr>
          <w:rFonts w:eastAsia="Times New Roman" w:cs="Arial"/>
          <w:sz w:val="20"/>
          <w:szCs w:val="20"/>
          <w:lang w:val="en-GB"/>
        </w:rPr>
        <w:t>and improving access to adequately structured and equipped facilities.</w:t>
      </w:r>
      <w:r w:rsidR="0010597D" w:rsidRPr="0032647D">
        <w:rPr>
          <w:rFonts w:eastAsia="Times New Roman" w:cs="Arial"/>
          <w:sz w:val="20"/>
          <w:szCs w:val="20"/>
          <w:lang w:val="en-GB"/>
        </w:rPr>
        <w:t xml:space="preserve"> The sector relies on allocations of </w:t>
      </w:r>
      <w:r w:rsidR="00963314" w:rsidRPr="0032647D">
        <w:rPr>
          <w:rFonts w:eastAsia="Times New Roman" w:cs="Arial"/>
          <w:sz w:val="20"/>
          <w:szCs w:val="20"/>
          <w:lang w:val="en-GB"/>
        </w:rPr>
        <w:t xml:space="preserve">selected local councils and government departments to use some of their unspent funds to </w:t>
      </w:r>
      <w:r w:rsidR="00963314" w:rsidRPr="0032647D">
        <w:rPr>
          <w:rFonts w:eastAsia="Times New Roman" w:cs="Arial"/>
          <w:sz w:val="20"/>
          <w:szCs w:val="20"/>
          <w:lang w:val="en-GB"/>
        </w:rPr>
        <w:softHyphen/>
        <w:t>provide infrastructure.</w:t>
      </w:r>
      <w:r w:rsidR="002562C2" w:rsidRPr="0032647D">
        <w:rPr>
          <w:rStyle w:val="FootnoteReference"/>
          <w:rFonts w:eastAsia="Times New Roman" w:cs="Arial"/>
          <w:sz w:val="20"/>
          <w:szCs w:val="20"/>
          <w:lang w:val="en-GB"/>
        </w:rPr>
        <w:footnoteReference w:id="5"/>
      </w:r>
    </w:p>
    <w:p w14:paraId="668E745E" w14:textId="77777777" w:rsidR="0023201B" w:rsidRPr="0032647D" w:rsidRDefault="0023201B" w:rsidP="005826CA">
      <w:pPr>
        <w:spacing w:line="264" w:lineRule="auto"/>
        <w:jc w:val="both"/>
        <w:rPr>
          <w:rFonts w:cs="Arial"/>
          <w:sz w:val="20"/>
          <w:szCs w:val="20"/>
          <w:lang w:val="en-GB"/>
        </w:rPr>
      </w:pPr>
    </w:p>
    <w:p w14:paraId="02132D51" w14:textId="77777777" w:rsidR="0023201B" w:rsidRPr="0032647D" w:rsidRDefault="0023201B" w:rsidP="005826CA">
      <w:pPr>
        <w:spacing w:line="264" w:lineRule="auto"/>
        <w:jc w:val="both"/>
        <w:rPr>
          <w:rFonts w:cs="Arial"/>
          <w:sz w:val="20"/>
          <w:szCs w:val="20"/>
          <w:lang w:val="en-GB"/>
        </w:rPr>
      </w:pPr>
      <w:r w:rsidRPr="0032647D">
        <w:rPr>
          <w:rFonts w:cs="Arial"/>
          <w:sz w:val="20"/>
          <w:szCs w:val="20"/>
          <w:lang w:val="en-GB"/>
        </w:rPr>
        <w:t xml:space="preserve">The gender distribution remained fairly consistent and equal between boys and girls (2013/14 boys attending were 50.1 per cent and girls 49.9 per cent). The population group and language profiles of children in ECD centres were generally consistent with national population figures. </w:t>
      </w:r>
    </w:p>
    <w:p w14:paraId="34BE36DF" w14:textId="146DADE2" w:rsidR="0023201B" w:rsidRPr="0032647D" w:rsidRDefault="0023201B" w:rsidP="005826CA">
      <w:pPr>
        <w:spacing w:line="264" w:lineRule="auto"/>
        <w:jc w:val="both"/>
        <w:rPr>
          <w:rFonts w:cs="Arial"/>
          <w:sz w:val="20"/>
          <w:szCs w:val="20"/>
          <w:lang w:val="en-GB"/>
        </w:rPr>
      </w:pPr>
    </w:p>
    <w:p w14:paraId="004BD692" w14:textId="57E48D52" w:rsidR="0023201B" w:rsidRPr="0032647D" w:rsidRDefault="0023201B" w:rsidP="005826CA">
      <w:pPr>
        <w:spacing w:line="264" w:lineRule="auto"/>
        <w:jc w:val="both"/>
        <w:rPr>
          <w:rFonts w:cs="Arial"/>
          <w:sz w:val="20"/>
          <w:szCs w:val="20"/>
          <w:lang w:val="en-GB"/>
        </w:rPr>
      </w:pPr>
      <w:r w:rsidRPr="0032647D">
        <w:rPr>
          <w:rFonts w:cs="Arial"/>
          <w:sz w:val="20"/>
          <w:szCs w:val="20"/>
          <w:lang w:val="en-GB"/>
        </w:rPr>
        <w:lastRenderedPageBreak/>
        <w:t>Lack of training re</w:t>
      </w:r>
      <w:r w:rsidR="004217A2" w:rsidRPr="0032647D">
        <w:rPr>
          <w:rFonts w:cs="Arial"/>
          <w:sz w:val="20"/>
          <w:szCs w:val="20"/>
          <w:lang w:val="en-GB"/>
        </w:rPr>
        <w:t>mained consistent, with nearly one in four ECD</w:t>
      </w:r>
      <w:r w:rsidR="00F268FE" w:rsidRPr="0032647D">
        <w:rPr>
          <w:rFonts w:cs="Arial"/>
          <w:sz w:val="20"/>
          <w:szCs w:val="20"/>
          <w:lang w:val="en-GB"/>
        </w:rPr>
        <w:t xml:space="preserve"> centres practitioners (23 per cent</w:t>
      </w:r>
      <w:r w:rsidRPr="0032647D">
        <w:rPr>
          <w:rFonts w:cs="Arial"/>
          <w:sz w:val="20"/>
          <w:szCs w:val="20"/>
          <w:lang w:val="en-GB"/>
        </w:rPr>
        <w:t>) having no training in 2001, and the 2013/14 audit shows a slight difference. In 2013/14 more than</w:t>
      </w:r>
      <w:r w:rsidR="00F268FE" w:rsidRPr="0032647D">
        <w:rPr>
          <w:rFonts w:cs="Arial"/>
          <w:sz w:val="20"/>
          <w:szCs w:val="20"/>
          <w:lang w:val="en-GB"/>
        </w:rPr>
        <w:t xml:space="preserve"> one third (35 per c</w:t>
      </w:r>
      <w:r w:rsidR="00274FD3" w:rsidRPr="0032647D">
        <w:rPr>
          <w:rFonts w:cs="Arial"/>
          <w:sz w:val="20"/>
          <w:szCs w:val="20"/>
          <w:lang w:val="en-GB"/>
        </w:rPr>
        <w:t>en</w:t>
      </w:r>
      <w:r w:rsidR="00F268FE" w:rsidRPr="0032647D">
        <w:rPr>
          <w:rFonts w:cs="Arial"/>
          <w:sz w:val="20"/>
          <w:szCs w:val="20"/>
          <w:lang w:val="en-GB"/>
        </w:rPr>
        <w:t>t</w:t>
      </w:r>
      <w:r w:rsidRPr="0032647D">
        <w:rPr>
          <w:rFonts w:cs="Arial"/>
          <w:sz w:val="20"/>
          <w:szCs w:val="20"/>
          <w:lang w:val="en-GB"/>
        </w:rPr>
        <w:t xml:space="preserve">) of principals/matrons and </w:t>
      </w:r>
      <w:r w:rsidR="00F268FE" w:rsidRPr="0032647D">
        <w:rPr>
          <w:rFonts w:cs="Arial"/>
          <w:sz w:val="20"/>
          <w:szCs w:val="20"/>
          <w:lang w:val="en-GB"/>
        </w:rPr>
        <w:t>supervisors and two in five (40 per cent</w:t>
      </w:r>
      <w:r w:rsidRPr="0032647D">
        <w:rPr>
          <w:rFonts w:cs="Arial"/>
          <w:sz w:val="20"/>
          <w:szCs w:val="20"/>
          <w:lang w:val="en-GB"/>
        </w:rPr>
        <w:t xml:space="preserve">) of practitioners and assistant practitioners qualifications were below a grade 12 education level. Just more </w:t>
      </w:r>
      <w:r w:rsidR="00F268FE" w:rsidRPr="0032647D">
        <w:rPr>
          <w:rFonts w:cs="Arial"/>
          <w:sz w:val="20"/>
          <w:szCs w:val="20"/>
          <w:lang w:val="en-GB"/>
        </w:rPr>
        <w:t>than half (51 per cent</w:t>
      </w:r>
      <w:r w:rsidRPr="0032647D">
        <w:rPr>
          <w:rFonts w:cs="Arial"/>
          <w:sz w:val="20"/>
          <w:szCs w:val="20"/>
          <w:lang w:val="en-GB"/>
        </w:rPr>
        <w:t>) of practitioners in registered early childhood development centres have no qualification that specialises in early childhood development.</w:t>
      </w:r>
      <w:r w:rsidR="00CD48D1" w:rsidRPr="0032647D">
        <w:rPr>
          <w:rFonts w:cs="Arial"/>
          <w:sz w:val="20"/>
          <w:szCs w:val="20"/>
          <w:lang w:val="en-GB"/>
        </w:rPr>
        <w:t xml:space="preserve"> </w:t>
      </w:r>
    </w:p>
    <w:p w14:paraId="78E13E44" w14:textId="09C1934C" w:rsidR="0023201B" w:rsidRPr="0032647D" w:rsidRDefault="0023201B" w:rsidP="005826CA">
      <w:pPr>
        <w:spacing w:line="264" w:lineRule="auto"/>
        <w:jc w:val="both"/>
        <w:rPr>
          <w:rFonts w:cs="Arial"/>
          <w:b/>
          <w:smallCaps/>
          <w:spacing w:val="-20"/>
          <w:sz w:val="20"/>
          <w:szCs w:val="20"/>
          <w:lang w:val="en-GB"/>
        </w:rPr>
      </w:pPr>
    </w:p>
    <w:p w14:paraId="7F3AEBF1" w14:textId="623C81AE" w:rsidR="0086745B" w:rsidRPr="0032647D" w:rsidRDefault="008614B7" w:rsidP="0086745B">
      <w:pPr>
        <w:pStyle w:val="Heading4"/>
        <w:spacing w:after="0"/>
        <w:jc w:val="both"/>
        <w:rPr>
          <w:i w:val="0"/>
        </w:rPr>
      </w:pPr>
      <w:r w:rsidRPr="0032647D">
        <w:rPr>
          <w:i w:val="0"/>
          <w:noProof/>
          <w:sz w:val="20"/>
          <w:szCs w:val="20"/>
          <w:lang w:val="en-US"/>
        </w:rPr>
        <w:drawing>
          <wp:anchor distT="0" distB="0" distL="114300" distR="114300" simplePos="0" relativeHeight="251919360" behindDoc="0" locked="0" layoutInCell="1" allowOverlap="1" wp14:anchorId="67E67CA2" wp14:editId="0C0F4875">
            <wp:simplePos x="0" y="0"/>
            <wp:positionH relativeFrom="column">
              <wp:posOffset>2533650</wp:posOffset>
            </wp:positionH>
            <wp:positionV relativeFrom="paragraph">
              <wp:posOffset>79375</wp:posOffset>
            </wp:positionV>
            <wp:extent cx="3296920" cy="2219325"/>
            <wp:effectExtent l="0" t="0" r="17780" b="9525"/>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86745B" w:rsidRPr="0032647D">
        <w:rPr>
          <w:i w:val="0"/>
          <w:sz w:val="20"/>
          <w:szCs w:val="20"/>
        </w:rPr>
        <w:t>The ECD centre attendance rate has stagnated since 2010 and was 33.5 per cent in 2015. The per cent of children minded by day mothers/child minders has increased somewhat from about 12 per cent in 2013 to just over 14 per cent in 2015.</w:t>
      </w:r>
      <w:r w:rsidR="0086745B" w:rsidRPr="0032647D">
        <w:rPr>
          <w:rStyle w:val="FootnoteReference"/>
          <w:i w:val="0"/>
          <w:sz w:val="20"/>
          <w:szCs w:val="20"/>
        </w:rPr>
        <w:footnoteReference w:id="6"/>
      </w:r>
    </w:p>
    <w:p w14:paraId="127A7DBB" w14:textId="77777777" w:rsidR="0086745B" w:rsidRPr="0032647D" w:rsidRDefault="0086745B" w:rsidP="0086745B">
      <w:pPr>
        <w:spacing w:line="264" w:lineRule="auto"/>
        <w:jc w:val="both"/>
        <w:rPr>
          <w:rFonts w:cs="Arial"/>
          <w:sz w:val="20"/>
          <w:szCs w:val="20"/>
          <w:lang w:val="en-GB"/>
        </w:rPr>
      </w:pPr>
    </w:p>
    <w:p w14:paraId="1AF63614" w14:textId="693F0820" w:rsidR="0010597D" w:rsidRPr="0032647D" w:rsidRDefault="0086745B" w:rsidP="002076B7">
      <w:pPr>
        <w:spacing w:line="264" w:lineRule="auto"/>
        <w:jc w:val="both"/>
        <w:rPr>
          <w:rFonts w:cs="Arial"/>
          <w:sz w:val="20"/>
          <w:szCs w:val="20"/>
          <w:lang w:val="en-GB"/>
        </w:rPr>
      </w:pPr>
      <w:r w:rsidRPr="0032647D">
        <w:rPr>
          <w:rFonts w:cs="Arial"/>
          <w:sz w:val="20"/>
          <w:szCs w:val="20"/>
          <w:lang w:val="en-GB"/>
        </w:rPr>
        <w:t xml:space="preserve">One reason </w:t>
      </w:r>
      <w:r w:rsidR="00ED7950" w:rsidRPr="0032647D">
        <w:rPr>
          <w:rFonts w:cs="Arial"/>
          <w:sz w:val="20"/>
          <w:szCs w:val="20"/>
          <w:lang w:val="en-GB"/>
        </w:rPr>
        <w:t xml:space="preserve">for the growth of the child minders is </w:t>
      </w:r>
      <w:r w:rsidRPr="0032647D">
        <w:rPr>
          <w:rFonts w:cs="Arial"/>
          <w:sz w:val="20"/>
          <w:szCs w:val="20"/>
          <w:lang w:val="en-GB"/>
        </w:rPr>
        <w:t>that</w:t>
      </w:r>
      <w:r w:rsidR="00ED7950" w:rsidRPr="0032647D">
        <w:rPr>
          <w:rFonts w:cs="Arial"/>
          <w:sz w:val="20"/>
          <w:szCs w:val="20"/>
          <w:lang w:val="en-GB"/>
        </w:rPr>
        <w:t xml:space="preserve"> the registration of new</w:t>
      </w:r>
      <w:r w:rsidRPr="0032647D">
        <w:rPr>
          <w:rFonts w:cs="Arial"/>
          <w:sz w:val="20"/>
          <w:szCs w:val="20"/>
          <w:lang w:val="en-GB"/>
        </w:rPr>
        <w:t xml:space="preserve"> </w:t>
      </w:r>
      <w:r w:rsidR="00ED7950" w:rsidRPr="0032647D">
        <w:rPr>
          <w:rFonts w:cs="Arial"/>
          <w:sz w:val="20"/>
          <w:szCs w:val="20"/>
          <w:lang w:val="en-GB"/>
        </w:rPr>
        <w:t>ECD</w:t>
      </w:r>
      <w:r w:rsidRPr="0032647D">
        <w:rPr>
          <w:rFonts w:cs="Arial"/>
          <w:sz w:val="20"/>
          <w:szCs w:val="20"/>
          <w:lang w:val="en-GB"/>
        </w:rPr>
        <w:t xml:space="preserve"> </w:t>
      </w:r>
      <w:r w:rsidR="00ED7950" w:rsidRPr="0032647D">
        <w:rPr>
          <w:rFonts w:cs="Arial"/>
          <w:sz w:val="20"/>
          <w:szCs w:val="20"/>
          <w:lang w:val="en-GB"/>
        </w:rPr>
        <w:t xml:space="preserve">centres is dependent on compliance with infrastructure requirements and the </w:t>
      </w:r>
      <w:r w:rsidR="00EA7F9C" w:rsidRPr="0032647D">
        <w:rPr>
          <w:rFonts w:cs="Arial"/>
          <w:sz w:val="20"/>
          <w:szCs w:val="20"/>
          <w:lang w:val="en-GB"/>
        </w:rPr>
        <w:t>expansion of infra</w:t>
      </w:r>
      <w:r w:rsidRPr="0032647D">
        <w:rPr>
          <w:rFonts w:cs="Arial"/>
          <w:sz w:val="20"/>
          <w:szCs w:val="20"/>
          <w:lang w:val="en-GB"/>
        </w:rPr>
        <w:t>structure are relatively slow and subject to costly investment and on-going maintenance. Without a rapid ex</w:t>
      </w:r>
      <w:r w:rsidR="004217A2" w:rsidRPr="0032647D">
        <w:rPr>
          <w:rFonts w:cs="Arial"/>
          <w:sz w:val="20"/>
          <w:szCs w:val="20"/>
          <w:lang w:val="en-GB"/>
        </w:rPr>
        <w:t>pansion and investment in infra</w:t>
      </w:r>
      <w:r w:rsidRPr="0032647D">
        <w:rPr>
          <w:rFonts w:cs="Arial"/>
          <w:sz w:val="20"/>
          <w:szCs w:val="20"/>
          <w:lang w:val="en-GB"/>
        </w:rPr>
        <w:t>structure,</w:t>
      </w:r>
      <w:r w:rsidR="0058604F" w:rsidRPr="0032647D">
        <w:rPr>
          <w:rFonts w:cs="Arial"/>
          <w:sz w:val="20"/>
          <w:szCs w:val="20"/>
          <w:lang w:val="en-GB"/>
        </w:rPr>
        <w:t xml:space="preserve"> the percentage of children attending ECD centres </w:t>
      </w:r>
      <w:r w:rsidRPr="0032647D">
        <w:rPr>
          <w:rFonts w:cs="Arial"/>
          <w:sz w:val="20"/>
          <w:szCs w:val="20"/>
          <w:lang w:val="en-GB"/>
        </w:rPr>
        <w:t>unlikely to change significant</w:t>
      </w:r>
      <w:r w:rsidR="004217A2" w:rsidRPr="0032647D">
        <w:rPr>
          <w:rFonts w:cs="Arial"/>
          <w:sz w:val="20"/>
          <w:szCs w:val="20"/>
          <w:lang w:val="en-GB"/>
        </w:rPr>
        <w:t>ly</w:t>
      </w:r>
      <w:r w:rsidRPr="0032647D">
        <w:rPr>
          <w:rFonts w:cs="Arial"/>
          <w:sz w:val="20"/>
          <w:szCs w:val="20"/>
          <w:lang w:val="en-GB"/>
        </w:rPr>
        <w:t xml:space="preserve"> in the future.</w:t>
      </w:r>
    </w:p>
    <w:p w14:paraId="501EC847" w14:textId="77777777" w:rsidR="007E3337" w:rsidRPr="0032647D" w:rsidRDefault="007E3337" w:rsidP="002076B7">
      <w:pPr>
        <w:spacing w:line="264" w:lineRule="auto"/>
        <w:jc w:val="both"/>
        <w:rPr>
          <w:rFonts w:cs="Arial"/>
          <w:sz w:val="20"/>
          <w:szCs w:val="20"/>
          <w:lang w:val="en-GB"/>
        </w:rPr>
      </w:pPr>
    </w:p>
    <w:p w14:paraId="1F82E645" w14:textId="0F6E93B2" w:rsidR="00D60AED" w:rsidRPr="0032647D" w:rsidRDefault="007E3337" w:rsidP="00D60AED">
      <w:pPr>
        <w:spacing w:line="264" w:lineRule="auto"/>
        <w:jc w:val="both"/>
        <w:rPr>
          <w:rFonts w:eastAsia="Times New Roman" w:cs="Arial"/>
          <w:sz w:val="20"/>
          <w:szCs w:val="20"/>
          <w:lang w:val="en-GB"/>
        </w:rPr>
      </w:pPr>
      <w:r w:rsidRPr="0032647D">
        <w:rPr>
          <w:rFonts w:eastAsia="Times New Roman" w:cs="Arial"/>
          <w:sz w:val="20"/>
          <w:szCs w:val="20"/>
          <w:lang w:val="en-GB"/>
        </w:rPr>
        <w:t xml:space="preserve">Various factors influence government’s inability or reluctance to finance ECD infrastructure. National, provincial and local </w:t>
      </w:r>
      <w:r w:rsidRPr="0032647D">
        <w:rPr>
          <w:rFonts w:eastAsia="Times New Roman" w:cs="Arial"/>
          <w:sz w:val="20"/>
          <w:szCs w:val="20"/>
          <w:lang w:val="en-GB"/>
        </w:rPr>
        <w:softHyphen/>
        <w:t xml:space="preserve">government are concurrently responsible for ECD, but their respective roles are unclear. This is partly because of policy ambiguities over which sphere of government is responsible for funding ECD and partly because legislation prohibits government from directly funding community and privately owned ECD </w:t>
      </w:r>
      <w:r w:rsidRPr="0032647D">
        <w:rPr>
          <w:rFonts w:eastAsia="Times New Roman" w:cs="Arial"/>
          <w:sz w:val="20"/>
          <w:szCs w:val="20"/>
          <w:lang w:val="en-GB"/>
        </w:rPr>
        <w:softHyphen/>
        <w:t>facilities. As a result, there is no coherent framework for financing ECD infrastructure.</w:t>
      </w:r>
      <w:r w:rsidR="00D60AED" w:rsidRPr="0032647D">
        <w:rPr>
          <w:rStyle w:val="FootnoteReference"/>
          <w:rFonts w:eastAsia="Times New Roman" w:cs="Arial"/>
          <w:sz w:val="20"/>
          <w:szCs w:val="20"/>
          <w:lang w:val="en-GB"/>
        </w:rPr>
        <w:footnoteReference w:id="7"/>
      </w:r>
    </w:p>
    <w:p w14:paraId="52F835D3" w14:textId="77777777" w:rsidR="00D60AED" w:rsidRPr="0032647D" w:rsidRDefault="00D60AED" w:rsidP="002076B7">
      <w:pPr>
        <w:spacing w:line="264" w:lineRule="auto"/>
        <w:jc w:val="both"/>
        <w:rPr>
          <w:rFonts w:eastAsia="Times New Roman" w:cs="Arial"/>
          <w:color w:val="FF0000"/>
          <w:sz w:val="20"/>
          <w:szCs w:val="20"/>
          <w:lang w:val="en-GB"/>
        </w:rPr>
      </w:pPr>
    </w:p>
    <w:p w14:paraId="48B8776B" w14:textId="040CBBF8" w:rsidR="0086745B" w:rsidRPr="0032647D" w:rsidRDefault="004238CA" w:rsidP="00957EBB">
      <w:pPr>
        <w:spacing w:line="264" w:lineRule="auto"/>
        <w:jc w:val="both"/>
        <w:rPr>
          <w:rFonts w:cs="Arial"/>
          <w:sz w:val="20"/>
          <w:szCs w:val="20"/>
          <w:lang w:val="en-GB"/>
        </w:rPr>
      </w:pPr>
      <w:r w:rsidRPr="0032647D">
        <w:rPr>
          <w:rFonts w:cs="Arial"/>
          <w:i/>
          <w:noProof/>
          <w:sz w:val="20"/>
          <w:szCs w:val="20"/>
        </w:rPr>
        <w:drawing>
          <wp:anchor distT="0" distB="0" distL="114300" distR="114300" simplePos="0" relativeHeight="251922432" behindDoc="1" locked="0" layoutInCell="1" allowOverlap="1" wp14:anchorId="48FCED76" wp14:editId="1ACBCFEF">
            <wp:simplePos x="0" y="0"/>
            <wp:positionH relativeFrom="column">
              <wp:posOffset>2530475</wp:posOffset>
            </wp:positionH>
            <wp:positionV relativeFrom="paragraph">
              <wp:posOffset>5080</wp:posOffset>
            </wp:positionV>
            <wp:extent cx="3309620" cy="2029460"/>
            <wp:effectExtent l="0" t="0" r="5080" b="8890"/>
            <wp:wrapTight wrapText="bothSides">
              <wp:wrapPolygon edited="0">
                <wp:start x="0" y="0"/>
                <wp:lineTo x="0" y="21492"/>
                <wp:lineTo x="21509" y="21492"/>
                <wp:lineTo x="21509"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D60AED" w:rsidRPr="0032647D">
        <w:rPr>
          <w:rFonts w:cs="Arial"/>
          <w:sz w:val="20"/>
          <w:szCs w:val="20"/>
          <w:lang w:val="en-GB"/>
        </w:rPr>
        <w:t xml:space="preserve">In this context, </w:t>
      </w:r>
      <w:r w:rsidR="0086745B" w:rsidRPr="0032647D">
        <w:rPr>
          <w:rFonts w:cs="Arial"/>
          <w:sz w:val="20"/>
          <w:szCs w:val="20"/>
          <w:lang w:val="en-GB"/>
        </w:rPr>
        <w:t>the</w:t>
      </w:r>
      <w:r w:rsidR="000B78C2" w:rsidRPr="0032647D">
        <w:rPr>
          <w:rFonts w:cs="Arial"/>
          <w:sz w:val="20"/>
          <w:szCs w:val="20"/>
          <w:lang w:val="en-GB"/>
        </w:rPr>
        <w:t>re is a</w:t>
      </w:r>
      <w:r w:rsidR="0086745B" w:rsidRPr="0032647D">
        <w:rPr>
          <w:rFonts w:cs="Arial"/>
          <w:sz w:val="20"/>
          <w:szCs w:val="20"/>
          <w:lang w:val="en-GB"/>
        </w:rPr>
        <w:t xml:space="preserve"> need to invest in and expand non-centre based programmes that provides quality early learning and development programmes and or not depe</w:t>
      </w:r>
      <w:r w:rsidR="0031367B" w:rsidRPr="0032647D">
        <w:rPr>
          <w:rFonts w:cs="Arial"/>
          <w:sz w:val="20"/>
          <w:szCs w:val="20"/>
          <w:lang w:val="en-GB"/>
        </w:rPr>
        <w:t>ndent on the same type of infra</w:t>
      </w:r>
      <w:r w:rsidR="0086745B" w:rsidRPr="0032647D">
        <w:rPr>
          <w:rFonts w:cs="Arial"/>
          <w:sz w:val="20"/>
          <w:szCs w:val="20"/>
          <w:lang w:val="en-GB"/>
        </w:rPr>
        <w:t>structure. Signi</w:t>
      </w:r>
      <w:r w:rsidR="004217A2" w:rsidRPr="0032647D">
        <w:rPr>
          <w:rFonts w:cs="Arial"/>
          <w:sz w:val="20"/>
          <w:szCs w:val="20"/>
          <w:lang w:val="en-GB"/>
        </w:rPr>
        <w:t>ficant is</w:t>
      </w:r>
      <w:r w:rsidR="0086745B" w:rsidRPr="0032647D">
        <w:rPr>
          <w:rFonts w:cs="Arial"/>
          <w:sz w:val="20"/>
          <w:szCs w:val="20"/>
          <w:lang w:val="en-GB"/>
        </w:rPr>
        <w:t xml:space="preserve"> the trend in day mothers/child minders, which take care of six or less children (as per the regulatory requirements), often in the younger age </w:t>
      </w:r>
      <w:r w:rsidR="0031367B" w:rsidRPr="0032647D">
        <w:rPr>
          <w:rFonts w:cs="Arial"/>
          <w:sz w:val="20"/>
          <w:szCs w:val="20"/>
          <w:lang w:val="en-GB"/>
        </w:rPr>
        <w:t>group (babies and toddler</w:t>
      </w:r>
      <w:r>
        <w:rPr>
          <w:rFonts w:cs="Arial"/>
          <w:sz w:val="20"/>
          <w:szCs w:val="20"/>
          <w:lang w:val="en-GB"/>
        </w:rPr>
        <w:t xml:space="preserve">s).  </w:t>
      </w:r>
    </w:p>
    <w:p w14:paraId="0798CD90" w14:textId="34C56356" w:rsidR="00751FD0" w:rsidRPr="0032647D" w:rsidRDefault="004E606E" w:rsidP="00957EBB">
      <w:pPr>
        <w:spacing w:line="264" w:lineRule="auto"/>
        <w:jc w:val="both"/>
        <w:rPr>
          <w:rFonts w:cs="Arial"/>
          <w:sz w:val="20"/>
          <w:szCs w:val="20"/>
          <w:lang w:val="en-GB"/>
        </w:rPr>
      </w:pPr>
      <w:r w:rsidRPr="0032647D">
        <w:rPr>
          <w:rFonts w:cs="Arial"/>
          <w:sz w:val="20"/>
          <w:szCs w:val="20"/>
          <w:lang w:val="en-GB"/>
        </w:rPr>
        <w:t xml:space="preserve">Although not compulsory, </w:t>
      </w:r>
      <w:r w:rsidR="0037322B" w:rsidRPr="0032647D">
        <w:rPr>
          <w:rFonts w:cs="Arial"/>
          <w:sz w:val="20"/>
          <w:szCs w:val="20"/>
          <w:lang w:val="en-GB"/>
        </w:rPr>
        <w:t>Grade R (</w:t>
      </w:r>
      <w:r w:rsidR="00EA1961" w:rsidRPr="0032647D">
        <w:rPr>
          <w:rFonts w:cs="Arial"/>
          <w:sz w:val="20"/>
          <w:szCs w:val="20"/>
          <w:lang w:val="en-GB"/>
        </w:rPr>
        <w:t>pre-school Grade O</w:t>
      </w:r>
      <w:r w:rsidR="0037322B" w:rsidRPr="0032647D">
        <w:rPr>
          <w:rFonts w:cs="Arial"/>
          <w:sz w:val="20"/>
          <w:szCs w:val="20"/>
          <w:lang w:val="en-GB"/>
        </w:rPr>
        <w:t>) has formed part of the Foundation Phase (Grade R to Grade 3) education policy since 1998.</w:t>
      </w:r>
      <w:r w:rsidR="000F4332" w:rsidRPr="0032647D">
        <w:rPr>
          <w:rFonts w:cs="Arial"/>
          <w:sz w:val="20"/>
          <w:szCs w:val="20"/>
          <w:lang w:val="en-GB"/>
        </w:rPr>
        <w:t xml:space="preserve"> </w:t>
      </w:r>
    </w:p>
    <w:p w14:paraId="6CB1AE44" w14:textId="77777777" w:rsidR="0037322B" w:rsidRPr="0032647D" w:rsidRDefault="0037322B" w:rsidP="00957EBB">
      <w:pPr>
        <w:spacing w:line="264" w:lineRule="auto"/>
        <w:jc w:val="both"/>
        <w:rPr>
          <w:rFonts w:cs="Arial"/>
          <w:sz w:val="20"/>
          <w:szCs w:val="20"/>
          <w:lang w:val="en-GB"/>
        </w:rPr>
      </w:pPr>
    </w:p>
    <w:p w14:paraId="741EA36C" w14:textId="138098E3" w:rsidR="0023201B" w:rsidRPr="0032647D" w:rsidRDefault="004E6C33" w:rsidP="00957EBB">
      <w:pPr>
        <w:spacing w:line="264" w:lineRule="auto"/>
        <w:jc w:val="both"/>
        <w:rPr>
          <w:rFonts w:cs="Arial"/>
          <w:sz w:val="20"/>
          <w:szCs w:val="20"/>
          <w:lang w:val="en-GB"/>
        </w:rPr>
      </w:pPr>
      <w:r w:rsidRPr="0032647D">
        <w:rPr>
          <w:rFonts w:cs="Arial"/>
          <w:sz w:val="20"/>
          <w:szCs w:val="20"/>
          <w:lang w:val="en-GB"/>
        </w:rPr>
        <w:t xml:space="preserve">Since 2010, there is </w:t>
      </w:r>
      <w:r w:rsidR="0023201B" w:rsidRPr="0032647D">
        <w:rPr>
          <w:rFonts w:cs="Arial"/>
          <w:sz w:val="20"/>
          <w:szCs w:val="20"/>
          <w:lang w:val="en-GB"/>
        </w:rPr>
        <w:t>a steady increase of the number of children atten</w:t>
      </w:r>
      <w:r w:rsidRPr="0032647D">
        <w:rPr>
          <w:rFonts w:cs="Arial"/>
          <w:sz w:val="20"/>
          <w:szCs w:val="20"/>
          <w:lang w:val="en-GB"/>
        </w:rPr>
        <w:t>ding Grade R in public schools,</w:t>
      </w:r>
      <w:r w:rsidR="0023201B" w:rsidRPr="0032647D">
        <w:rPr>
          <w:rStyle w:val="FootnoteReference"/>
          <w:rFonts w:cs="Arial"/>
          <w:sz w:val="20"/>
          <w:szCs w:val="20"/>
          <w:lang w:val="en-GB"/>
        </w:rPr>
        <w:footnoteReference w:id="8"/>
      </w:r>
      <w:r w:rsidR="0023201B" w:rsidRPr="0032647D">
        <w:rPr>
          <w:rFonts w:cs="Arial"/>
          <w:sz w:val="20"/>
          <w:szCs w:val="20"/>
          <w:lang w:val="en-GB"/>
        </w:rPr>
        <w:t xml:space="preserve"> whilst the number of children in </w:t>
      </w:r>
      <w:r w:rsidRPr="0032647D">
        <w:rPr>
          <w:rFonts w:cs="Arial"/>
          <w:sz w:val="20"/>
          <w:szCs w:val="20"/>
          <w:lang w:val="en-GB"/>
        </w:rPr>
        <w:t xml:space="preserve">ECD </w:t>
      </w:r>
      <w:r w:rsidR="0023201B" w:rsidRPr="0032647D">
        <w:rPr>
          <w:rFonts w:cs="Arial"/>
          <w:sz w:val="20"/>
          <w:szCs w:val="20"/>
          <w:lang w:val="en-GB"/>
        </w:rPr>
        <w:t>centres attending Grade R declined over the same period</w:t>
      </w:r>
      <w:r w:rsidRPr="0032647D">
        <w:rPr>
          <w:rFonts w:cs="Arial"/>
          <w:sz w:val="20"/>
          <w:szCs w:val="20"/>
          <w:lang w:val="en-GB"/>
        </w:rPr>
        <w:t>.</w:t>
      </w:r>
      <w:r w:rsidR="0023201B" w:rsidRPr="00A67517">
        <w:rPr>
          <w:rStyle w:val="FootnoteReference"/>
          <w:rFonts w:cs="Arial"/>
          <w:sz w:val="20"/>
          <w:szCs w:val="20"/>
          <w:lang w:val="en-GB"/>
        </w:rPr>
        <w:footnoteReference w:id="9"/>
      </w:r>
      <w:r w:rsidR="0023201B" w:rsidRPr="00A67517">
        <w:rPr>
          <w:rFonts w:cs="Arial"/>
          <w:sz w:val="20"/>
          <w:szCs w:val="20"/>
          <w:lang w:val="en-GB"/>
        </w:rPr>
        <w:t xml:space="preserve"> Overall, </w:t>
      </w:r>
      <w:r w:rsidR="0023201B" w:rsidRPr="00A67517">
        <w:rPr>
          <w:rFonts w:cs="Arial"/>
          <w:sz w:val="20"/>
          <w:szCs w:val="20"/>
          <w:lang w:val="en-GB"/>
        </w:rPr>
        <w:lastRenderedPageBreak/>
        <w:t xml:space="preserve">the total number of children in Grade R increased with nearly 900 000 since 2010. The scaling up of access to Grade R (from 316 086 </w:t>
      </w:r>
      <w:r w:rsidR="00D60971" w:rsidRPr="00A67517">
        <w:rPr>
          <w:rFonts w:cs="Arial"/>
          <w:sz w:val="20"/>
          <w:szCs w:val="20"/>
          <w:lang w:val="en-GB"/>
        </w:rPr>
        <w:t xml:space="preserve">children in 2003) is plausible. </w:t>
      </w:r>
    </w:p>
    <w:p w14:paraId="6BF727E5" w14:textId="77777777" w:rsidR="004E31D5" w:rsidRPr="0032647D" w:rsidRDefault="004E31D5" w:rsidP="00957EBB">
      <w:pPr>
        <w:spacing w:line="264" w:lineRule="auto"/>
        <w:rPr>
          <w:rFonts w:ascii="Helvetica" w:eastAsia="Times New Roman" w:hAnsi="Helvetica" w:cs="Arial"/>
          <w:color w:val="009BFD" w:themeColor="accent1"/>
          <w:sz w:val="21"/>
          <w:szCs w:val="21"/>
          <w:lang w:val="en-GB"/>
        </w:rPr>
      </w:pPr>
    </w:p>
    <w:p w14:paraId="7582F428" w14:textId="25608249" w:rsidR="0023201B" w:rsidRPr="00A67517" w:rsidRDefault="004238CA" w:rsidP="004238CA">
      <w:pPr>
        <w:pStyle w:val="Heading2"/>
        <w:numPr>
          <w:ilvl w:val="0"/>
          <w:numId w:val="0"/>
        </w:numPr>
        <w:spacing w:before="0" w:after="0"/>
        <w:rPr>
          <w:color w:val="009BFD" w:themeColor="accent1"/>
        </w:rPr>
      </w:pPr>
      <w:r w:rsidRPr="00A67517">
        <w:rPr>
          <w:color w:val="009BFD" w:themeColor="accent1"/>
        </w:rPr>
        <w:t>QUALITY</w:t>
      </w:r>
      <w:r w:rsidR="00A67517">
        <w:rPr>
          <w:color w:val="009BFD" w:themeColor="accent1"/>
        </w:rPr>
        <w:t xml:space="preserve"> AND EQUITABLE</w:t>
      </w:r>
      <w:r w:rsidRPr="00A67517">
        <w:rPr>
          <w:color w:val="009BFD" w:themeColor="accent1"/>
        </w:rPr>
        <w:t xml:space="preserve"> EDUCATION </w:t>
      </w:r>
    </w:p>
    <w:p w14:paraId="7AF5F99A" w14:textId="77777777" w:rsidR="0023201B" w:rsidRPr="0032647D" w:rsidRDefault="0023201B" w:rsidP="002324FD">
      <w:pPr>
        <w:spacing w:line="264" w:lineRule="auto"/>
        <w:jc w:val="both"/>
        <w:rPr>
          <w:rFonts w:cs="Arial"/>
          <w:sz w:val="20"/>
          <w:szCs w:val="20"/>
          <w:lang w:val="en-GB"/>
        </w:rPr>
      </w:pPr>
    </w:p>
    <w:p w14:paraId="2D17C583" w14:textId="49DA5FAC" w:rsidR="005E2BB0" w:rsidRPr="0032647D" w:rsidRDefault="00AC74FE" w:rsidP="002324FD">
      <w:pPr>
        <w:spacing w:line="264" w:lineRule="auto"/>
        <w:jc w:val="both"/>
        <w:rPr>
          <w:rFonts w:cs="Arial"/>
          <w:sz w:val="20"/>
          <w:szCs w:val="20"/>
          <w:lang w:val="en-GB"/>
        </w:rPr>
      </w:pPr>
      <w:r w:rsidRPr="0032647D">
        <w:rPr>
          <w:rFonts w:cs="Arial"/>
          <w:sz w:val="20"/>
          <w:szCs w:val="20"/>
          <w:lang w:val="en-GB"/>
        </w:rPr>
        <w:t>Lack of quality education has been linked to increased risk of HIV, unemployment and social exclusion and is a key factor contributing to the intergenerational cycle of pov</w:t>
      </w:r>
      <w:r w:rsidR="00C046B7" w:rsidRPr="0032647D">
        <w:rPr>
          <w:rFonts w:cs="Arial"/>
          <w:sz w:val="20"/>
          <w:szCs w:val="20"/>
          <w:lang w:val="en-GB"/>
        </w:rPr>
        <w:t>erty in South Africa.</w:t>
      </w:r>
    </w:p>
    <w:p w14:paraId="641948BD" w14:textId="77777777" w:rsidR="005E2BB0" w:rsidRPr="0032647D" w:rsidRDefault="005E2BB0" w:rsidP="002324FD">
      <w:pPr>
        <w:spacing w:line="264" w:lineRule="auto"/>
        <w:jc w:val="both"/>
        <w:rPr>
          <w:rFonts w:cs="Arial"/>
          <w:sz w:val="20"/>
          <w:szCs w:val="20"/>
          <w:lang w:val="en-GB"/>
        </w:rPr>
      </w:pPr>
    </w:p>
    <w:p w14:paraId="646305D5" w14:textId="4A6A61DF" w:rsidR="0023201B" w:rsidRPr="0032647D" w:rsidRDefault="0023201B" w:rsidP="002324FD">
      <w:pPr>
        <w:spacing w:line="264" w:lineRule="auto"/>
        <w:jc w:val="both"/>
        <w:rPr>
          <w:rFonts w:cs="Arial"/>
          <w:sz w:val="20"/>
          <w:szCs w:val="20"/>
          <w:lang w:val="en-GB"/>
        </w:rPr>
      </w:pPr>
      <w:r w:rsidRPr="0032647D">
        <w:rPr>
          <w:rFonts w:cs="Arial"/>
          <w:sz w:val="20"/>
          <w:szCs w:val="20"/>
          <w:lang w:val="en-GB"/>
        </w:rPr>
        <w:t>The Department of Basic Education</w:t>
      </w:r>
      <w:r w:rsidR="00354449" w:rsidRPr="0032647D">
        <w:rPr>
          <w:rFonts w:cs="Arial"/>
          <w:sz w:val="20"/>
          <w:szCs w:val="20"/>
          <w:lang w:val="en-GB"/>
        </w:rPr>
        <w:t xml:space="preserve"> recogniz</w:t>
      </w:r>
      <w:r w:rsidRPr="0032647D">
        <w:rPr>
          <w:rFonts w:cs="Arial"/>
          <w:sz w:val="20"/>
          <w:szCs w:val="20"/>
          <w:lang w:val="en-GB"/>
        </w:rPr>
        <w:t>es that the heart of the education challenge in South Africa lies at the nexus of equity, efficiency and quality.</w:t>
      </w:r>
      <w:r w:rsidRPr="0032647D">
        <w:rPr>
          <w:rStyle w:val="FootnoteReference"/>
          <w:rFonts w:cs="Arial"/>
          <w:sz w:val="20"/>
          <w:szCs w:val="20"/>
          <w:lang w:val="en-GB"/>
        </w:rPr>
        <w:footnoteReference w:id="10"/>
      </w:r>
      <w:r w:rsidRPr="0032647D">
        <w:rPr>
          <w:rFonts w:cs="Arial"/>
          <w:sz w:val="20"/>
          <w:szCs w:val="20"/>
          <w:lang w:val="en-GB"/>
        </w:rPr>
        <w:t xml:space="preserve"> The National Development Plan 2030 eloquently captures the essence of the challenge</w:t>
      </w:r>
      <w:r w:rsidRPr="0032647D">
        <w:rPr>
          <w:rStyle w:val="FootnoteReference"/>
          <w:rFonts w:cs="Arial"/>
          <w:sz w:val="20"/>
          <w:szCs w:val="20"/>
          <w:lang w:val="en-GB"/>
        </w:rPr>
        <w:footnoteReference w:id="11"/>
      </w:r>
      <w:r w:rsidRPr="0032647D">
        <w:rPr>
          <w:rFonts w:cs="Arial"/>
          <w:sz w:val="20"/>
          <w:szCs w:val="20"/>
          <w:lang w:val="en-GB"/>
        </w:rPr>
        <w:t xml:space="preserve">: </w:t>
      </w:r>
    </w:p>
    <w:p w14:paraId="45E3B264" w14:textId="77777777" w:rsidR="0023201B" w:rsidRPr="0032647D" w:rsidRDefault="0023201B" w:rsidP="002324FD">
      <w:pPr>
        <w:spacing w:line="264" w:lineRule="auto"/>
        <w:ind w:left="720"/>
        <w:jc w:val="both"/>
        <w:rPr>
          <w:rFonts w:cs="Arial"/>
          <w:bCs/>
          <w:i/>
          <w:iCs/>
          <w:sz w:val="20"/>
          <w:szCs w:val="20"/>
          <w:lang w:val="en-GB"/>
        </w:rPr>
      </w:pPr>
    </w:p>
    <w:p w14:paraId="4B3F8364" w14:textId="52681411" w:rsidR="0023201B" w:rsidRPr="0032647D" w:rsidRDefault="0023201B" w:rsidP="002324FD">
      <w:pPr>
        <w:spacing w:line="264" w:lineRule="auto"/>
        <w:ind w:left="720"/>
        <w:jc w:val="both"/>
        <w:rPr>
          <w:rFonts w:cs="Arial"/>
          <w:bCs/>
          <w:iCs/>
          <w:sz w:val="20"/>
          <w:szCs w:val="20"/>
          <w:lang w:val="en-GB"/>
        </w:rPr>
      </w:pPr>
      <w:r w:rsidRPr="0032647D">
        <w:rPr>
          <w:rFonts w:cs="Arial"/>
          <w:bCs/>
          <w:iCs/>
          <w:sz w:val="20"/>
          <w:szCs w:val="20"/>
          <w:lang w:val="en-GB"/>
        </w:rPr>
        <w:t>“Despite many positive changes since 1994, the legacy of low-quality education (quality) in historically disadvantaged parts (equity) of the school system persists. This seriously hampers the education system’s ability to provide a way out of poverty for poor children. The grade promotion of learners who are not ready in the primary and early secondary phases leads to substantial dropout (efficiency) before the standardised matric examination”.</w:t>
      </w:r>
    </w:p>
    <w:p w14:paraId="5EA05DBB" w14:textId="77777777" w:rsidR="0023201B" w:rsidRPr="0032647D" w:rsidRDefault="0023201B" w:rsidP="002324FD">
      <w:pPr>
        <w:spacing w:line="264" w:lineRule="auto"/>
        <w:jc w:val="both"/>
        <w:rPr>
          <w:rFonts w:cs="Arial"/>
          <w:bCs/>
          <w:iCs/>
          <w:sz w:val="20"/>
          <w:szCs w:val="20"/>
          <w:lang w:val="en-GB"/>
        </w:rPr>
      </w:pPr>
    </w:p>
    <w:p w14:paraId="4938B6EF" w14:textId="0EB62CBB"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This is attributed to various internal inefficiencies within the education system. In 2014, grade repetition was fairly high at an average of 11.3 per cent for the system, rising to 17.3 per cent in grade 9, 21 per cent in grade 10 and 17.7 per cent in grade 11 respectively.</w:t>
      </w:r>
      <w:r w:rsidRPr="0032647D">
        <w:rPr>
          <w:rStyle w:val="FootnoteReference"/>
          <w:rFonts w:cs="Arial"/>
          <w:bCs/>
          <w:iCs/>
          <w:sz w:val="20"/>
          <w:szCs w:val="20"/>
          <w:lang w:val="en-GB"/>
        </w:rPr>
        <w:footnoteReference w:id="12"/>
      </w:r>
      <w:r w:rsidRPr="0032647D">
        <w:rPr>
          <w:rFonts w:cs="Arial"/>
          <w:bCs/>
          <w:iCs/>
          <w:sz w:val="20"/>
          <w:szCs w:val="20"/>
          <w:lang w:val="en-GB"/>
        </w:rPr>
        <w:t xml:space="preserve"> In the absence of remediation, repetition rates increase from 8 per cent during primary school to 15 percent in secondary school. Repetition rates are higher amongst boys than amongst girls in both primary and secondary school.  </w:t>
      </w:r>
    </w:p>
    <w:p w14:paraId="1FCECD29" w14:textId="77777777" w:rsidR="0023201B" w:rsidRPr="0032647D" w:rsidRDefault="0023201B" w:rsidP="002324FD">
      <w:pPr>
        <w:spacing w:line="264" w:lineRule="auto"/>
        <w:jc w:val="both"/>
        <w:rPr>
          <w:rFonts w:cs="Arial"/>
          <w:bCs/>
          <w:iCs/>
          <w:sz w:val="20"/>
          <w:szCs w:val="20"/>
          <w:lang w:val="en-GB"/>
        </w:rPr>
      </w:pPr>
    </w:p>
    <w:p w14:paraId="5AAC6DCA" w14:textId="002ADE65"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The education system is largely able to retain learners during the compulsory years of schooling (Grades 1-9). However, according to DBE’s Action Plan to 2019</w:t>
      </w:r>
      <w:r w:rsidRPr="0032647D">
        <w:rPr>
          <w:rStyle w:val="FootnoteReference"/>
          <w:rFonts w:cs="Arial"/>
          <w:bCs/>
          <w:iCs/>
          <w:sz w:val="20"/>
          <w:szCs w:val="20"/>
          <w:lang w:val="en-GB"/>
        </w:rPr>
        <w:footnoteReference w:id="13"/>
      </w:r>
      <w:r w:rsidRPr="0032647D">
        <w:rPr>
          <w:rFonts w:cs="Arial"/>
          <w:bCs/>
          <w:iCs/>
          <w:sz w:val="20"/>
          <w:szCs w:val="20"/>
          <w:lang w:val="en-GB"/>
        </w:rPr>
        <w:t>, this high enrolment ratio tends to conceal the fact that up to 15 per cent of learners do not complete Grade 9. This drop out increases significantly in Grades 10 (10.6 per cent) and 11 (13.4 per cent).</w:t>
      </w:r>
      <w:r w:rsidRPr="0032647D">
        <w:rPr>
          <w:rStyle w:val="FootnoteReference"/>
          <w:rFonts w:cs="Arial"/>
          <w:bCs/>
          <w:iCs/>
          <w:sz w:val="20"/>
          <w:szCs w:val="20"/>
          <w:lang w:val="en-GB"/>
        </w:rPr>
        <w:footnoteReference w:id="14"/>
      </w:r>
      <w:r w:rsidRPr="0032647D">
        <w:rPr>
          <w:rFonts w:cs="Arial"/>
          <w:bCs/>
          <w:iCs/>
          <w:sz w:val="20"/>
          <w:szCs w:val="20"/>
          <w:lang w:val="en-GB"/>
        </w:rPr>
        <w:t xml:space="preserve">  Despite spending many years within the education system (described in the latter years of schooling as a queuing phenomenon), only 40 per cent of learners complete their final year of schooling, leaving 60 per cent with no qualification beyond Grade 9 level.</w:t>
      </w:r>
      <w:r w:rsidRPr="0032647D">
        <w:rPr>
          <w:rStyle w:val="FootnoteReference"/>
          <w:rFonts w:cs="Arial"/>
          <w:bCs/>
          <w:iCs/>
          <w:sz w:val="20"/>
          <w:szCs w:val="20"/>
          <w:lang w:val="en-GB"/>
        </w:rPr>
        <w:footnoteReference w:id="15"/>
      </w:r>
    </w:p>
    <w:p w14:paraId="3FA784A6" w14:textId="77777777" w:rsidR="0023201B" w:rsidRPr="0032647D" w:rsidRDefault="0023201B" w:rsidP="002324FD">
      <w:pPr>
        <w:tabs>
          <w:tab w:val="center" w:pos="4513"/>
        </w:tabs>
        <w:spacing w:line="264" w:lineRule="auto"/>
        <w:jc w:val="both"/>
        <w:rPr>
          <w:rFonts w:cs="Arial"/>
          <w:sz w:val="20"/>
          <w:szCs w:val="20"/>
          <w:lang w:val="en-GB"/>
        </w:rPr>
      </w:pPr>
    </w:p>
    <w:p w14:paraId="5CDE8576" w14:textId="2FE0C32B" w:rsidR="0023201B" w:rsidRPr="00A67517" w:rsidRDefault="0023201B" w:rsidP="002324FD">
      <w:pPr>
        <w:pStyle w:val="Heading3"/>
        <w:spacing w:after="0"/>
        <w:rPr>
          <w:color w:val="009BFD" w:themeColor="accent1"/>
        </w:rPr>
      </w:pPr>
      <w:bookmarkStart w:id="1" w:name="_Toc464058089"/>
      <w:r w:rsidRPr="00A67517">
        <w:rPr>
          <w:color w:val="009BFD" w:themeColor="accent1"/>
        </w:rPr>
        <w:t xml:space="preserve">Access </w:t>
      </w:r>
      <w:r w:rsidR="00EF3126" w:rsidRPr="00A67517">
        <w:rPr>
          <w:color w:val="009BFD" w:themeColor="accent1"/>
        </w:rPr>
        <w:t>challenges for children with disabilities and</w:t>
      </w:r>
      <w:r w:rsidRPr="00A67517">
        <w:rPr>
          <w:color w:val="009BFD" w:themeColor="accent1"/>
        </w:rPr>
        <w:t xml:space="preserve"> children affected by drought</w:t>
      </w:r>
      <w:bookmarkEnd w:id="1"/>
    </w:p>
    <w:p w14:paraId="5FB2D941" w14:textId="77777777" w:rsidR="0023201B" w:rsidRPr="0032647D" w:rsidRDefault="0023201B" w:rsidP="002324FD">
      <w:pPr>
        <w:spacing w:line="264" w:lineRule="auto"/>
        <w:jc w:val="both"/>
        <w:rPr>
          <w:rStyle w:val="Heading3Char"/>
          <w:sz w:val="20"/>
          <w:szCs w:val="20"/>
          <w:lang w:val="en-GB"/>
        </w:rPr>
      </w:pPr>
    </w:p>
    <w:p w14:paraId="6B458733" w14:textId="601696DC" w:rsidR="0023201B" w:rsidRPr="0032647D" w:rsidRDefault="0023201B" w:rsidP="002324FD">
      <w:pPr>
        <w:spacing w:line="264" w:lineRule="auto"/>
        <w:jc w:val="both"/>
        <w:rPr>
          <w:rFonts w:cs="Arial"/>
          <w:sz w:val="20"/>
          <w:szCs w:val="20"/>
          <w:lang w:val="en-GB"/>
        </w:rPr>
      </w:pPr>
      <w:r w:rsidRPr="0032647D">
        <w:rPr>
          <w:rFonts w:cs="Arial"/>
          <w:sz w:val="20"/>
          <w:szCs w:val="20"/>
          <w:lang w:val="en-GB"/>
        </w:rPr>
        <w:t>South Africa has made significant progress in improving access to education.</w:t>
      </w:r>
      <w:r w:rsidRPr="0032647D">
        <w:rPr>
          <w:rFonts w:cs="Arial"/>
          <w:i/>
          <w:sz w:val="20"/>
          <w:szCs w:val="20"/>
          <w:lang w:val="en-GB"/>
        </w:rPr>
        <w:t xml:space="preserve"> </w:t>
      </w:r>
      <w:r w:rsidRPr="0032647D">
        <w:rPr>
          <w:rFonts w:cs="Arial"/>
          <w:sz w:val="20"/>
          <w:szCs w:val="20"/>
          <w:lang w:val="en-GB"/>
        </w:rPr>
        <w:t>By 2002, 96 per cent of learners in the compulsory years of schooling (7-15 years) could be found in school; this rose to 99 per cent by 2014 with gender parity being reached.</w:t>
      </w:r>
      <w:r w:rsidRPr="0032647D">
        <w:rPr>
          <w:rStyle w:val="FootnoteReference"/>
          <w:rFonts w:cs="Arial"/>
          <w:sz w:val="20"/>
          <w:szCs w:val="20"/>
          <w:lang w:val="en-GB"/>
        </w:rPr>
        <w:footnoteReference w:id="16"/>
      </w:r>
      <w:r w:rsidRPr="0032647D">
        <w:rPr>
          <w:rFonts w:cs="Arial"/>
          <w:sz w:val="20"/>
          <w:szCs w:val="20"/>
          <w:lang w:val="en-GB"/>
        </w:rPr>
        <w:t xml:space="preserve"> Participation remained consistently high across provinces and population groups. Attendance rates for 14-18 years olds increased from 88 per cent in 2002 to 91 per cent in 2014</w:t>
      </w:r>
      <w:r w:rsidRPr="0032647D">
        <w:rPr>
          <w:rStyle w:val="FootnoteReference"/>
          <w:rFonts w:cs="Arial"/>
          <w:sz w:val="20"/>
          <w:szCs w:val="20"/>
          <w:lang w:val="en-GB"/>
        </w:rPr>
        <w:footnoteReference w:id="17"/>
      </w:r>
      <w:r w:rsidRPr="0032647D">
        <w:rPr>
          <w:rFonts w:cs="Arial"/>
          <w:sz w:val="20"/>
          <w:szCs w:val="20"/>
          <w:lang w:val="en-GB"/>
        </w:rPr>
        <w:t xml:space="preserve"> with notable gender parity albeit with provincial differences:  Northern Cape reported a low of 84 per cent in 2014 versus a high of 95 per cent for Limpopo.</w:t>
      </w:r>
    </w:p>
    <w:p w14:paraId="080DA7DD" w14:textId="77777777" w:rsidR="00A67517" w:rsidRDefault="00A67517" w:rsidP="002324FD">
      <w:pPr>
        <w:spacing w:line="264" w:lineRule="auto"/>
        <w:jc w:val="both"/>
        <w:rPr>
          <w:rFonts w:cs="Arial"/>
          <w:sz w:val="20"/>
          <w:szCs w:val="20"/>
          <w:lang w:val="en-GB"/>
        </w:rPr>
      </w:pPr>
    </w:p>
    <w:p w14:paraId="77B74605" w14:textId="5FBD15BA" w:rsidR="0023201B" w:rsidRPr="0032647D" w:rsidRDefault="0023201B" w:rsidP="002324FD">
      <w:pPr>
        <w:spacing w:line="264" w:lineRule="auto"/>
        <w:jc w:val="both"/>
        <w:rPr>
          <w:rFonts w:cs="Arial"/>
          <w:sz w:val="20"/>
          <w:szCs w:val="20"/>
          <w:lang w:val="en-GB"/>
        </w:rPr>
      </w:pPr>
      <w:r w:rsidRPr="0032647D">
        <w:rPr>
          <w:rFonts w:cs="Arial"/>
          <w:sz w:val="20"/>
          <w:szCs w:val="20"/>
          <w:lang w:val="en-GB"/>
        </w:rPr>
        <w:t xml:space="preserve">The participation of 16-18 year olds in an education institution however, has stagnated increasing only marginally from 82.6 per cent in 2002 to 86.1 per cent in 2014. Even though gender parity has been reached for further education and training (FET) participation rates (Grades 10-12), differences in access amongst population groups was prevalent, with more White children (92 per cent), followed by Black/African (87.1 per cent), Indian (76.8 per cent) and Coloured (73.7 per cent) attending school. </w:t>
      </w:r>
      <w:r w:rsidRPr="0032647D">
        <w:rPr>
          <w:rFonts w:cs="Arial"/>
          <w:sz w:val="20"/>
          <w:szCs w:val="20"/>
          <w:lang w:val="en-GB"/>
        </w:rPr>
        <w:lastRenderedPageBreak/>
        <w:t>Participation rates also varied amongst provinces with a low of 76 per cent in Northern Cape and a high of 93 per cent in Limpopo.</w:t>
      </w:r>
      <w:r w:rsidRPr="0032647D">
        <w:rPr>
          <w:rStyle w:val="FootnoteReference"/>
          <w:rFonts w:cs="Arial"/>
          <w:sz w:val="20"/>
          <w:szCs w:val="20"/>
          <w:lang w:val="en-GB"/>
        </w:rPr>
        <w:t xml:space="preserve"> </w:t>
      </w:r>
      <w:r w:rsidRPr="0032647D">
        <w:rPr>
          <w:rStyle w:val="FootnoteReference"/>
          <w:rFonts w:cs="Arial"/>
          <w:sz w:val="20"/>
          <w:szCs w:val="20"/>
          <w:lang w:val="en-GB"/>
        </w:rPr>
        <w:footnoteReference w:id="18"/>
      </w:r>
      <w:r w:rsidRPr="0032647D">
        <w:rPr>
          <w:rFonts w:cs="Arial"/>
          <w:sz w:val="20"/>
          <w:szCs w:val="20"/>
          <w:lang w:val="en-GB"/>
        </w:rPr>
        <w:t xml:space="preserve"> </w:t>
      </w:r>
    </w:p>
    <w:p w14:paraId="4D062A32" w14:textId="77777777" w:rsidR="0023201B" w:rsidRPr="0032647D" w:rsidRDefault="0023201B" w:rsidP="002324FD">
      <w:pPr>
        <w:spacing w:line="264" w:lineRule="auto"/>
        <w:jc w:val="both"/>
        <w:rPr>
          <w:rFonts w:cs="Arial"/>
          <w:sz w:val="20"/>
          <w:szCs w:val="20"/>
          <w:lang w:val="en-GB"/>
        </w:rPr>
      </w:pPr>
    </w:p>
    <w:p w14:paraId="2FD9851D" w14:textId="25910EE0" w:rsidR="0023201B" w:rsidRPr="0032647D" w:rsidRDefault="0023201B" w:rsidP="002324FD">
      <w:pPr>
        <w:pStyle w:val="Heading4"/>
        <w:spacing w:after="0"/>
      </w:pPr>
      <w:r w:rsidRPr="0032647D">
        <w:t>Children with disabilities</w:t>
      </w:r>
    </w:p>
    <w:p w14:paraId="565C4760" w14:textId="45D294ED" w:rsidR="0023201B" w:rsidRPr="0032647D" w:rsidRDefault="0023201B" w:rsidP="002324FD">
      <w:pPr>
        <w:spacing w:line="264" w:lineRule="auto"/>
        <w:jc w:val="both"/>
        <w:rPr>
          <w:rFonts w:cs="Arial"/>
          <w:sz w:val="20"/>
          <w:szCs w:val="20"/>
          <w:lang w:val="en-GB"/>
        </w:rPr>
      </w:pPr>
      <w:r w:rsidRPr="0032647D">
        <w:rPr>
          <w:rFonts w:cs="Arial"/>
          <w:sz w:val="20"/>
          <w:szCs w:val="20"/>
          <w:lang w:val="en-GB"/>
        </w:rPr>
        <w:t>The Department of Basic Education (DBE) has made significant strides in including children with disabilities within the schooling system. Learners with disabilities represent 4.8 per cent of the total population of children attending school.</w:t>
      </w:r>
      <w:r w:rsidRPr="0032647D">
        <w:rPr>
          <w:rStyle w:val="FootnoteReference"/>
          <w:rFonts w:cs="Arial"/>
          <w:sz w:val="20"/>
          <w:szCs w:val="20"/>
          <w:lang w:val="en-GB"/>
        </w:rPr>
        <w:footnoteReference w:id="19"/>
      </w:r>
      <w:r w:rsidRPr="0032647D">
        <w:rPr>
          <w:rFonts w:cs="Arial"/>
          <w:sz w:val="20"/>
          <w:szCs w:val="20"/>
          <w:lang w:val="en-GB"/>
        </w:rPr>
        <w:t xml:space="preserve"> According to the 2014 General Household Survey (GHS), 93.4 per cent of 7-15 year old learners with disabilities could be found in schools, with no gender differences reported. This figure has remained constant since 2010. Concomitantly, there has been a decrease in the number of children with disabilities aged 7-15 years who are out of school from 36 465 in 2002 to approximately 22 952 in 2014. Participation rates are significantly lower in secondary schools with 54.1 per cent of 16-18 year olds with disabilities being found in schools. As with dropout rates, more females (59 per cent) with disabilities in this age group were attending education institution compared to males (50 per cent). </w:t>
      </w:r>
    </w:p>
    <w:p w14:paraId="2D2B0F5C" w14:textId="77777777" w:rsidR="0023201B" w:rsidRPr="0032647D" w:rsidRDefault="0023201B" w:rsidP="002324FD">
      <w:pPr>
        <w:spacing w:line="264" w:lineRule="auto"/>
        <w:jc w:val="both"/>
        <w:rPr>
          <w:rFonts w:cs="Arial"/>
          <w:sz w:val="20"/>
          <w:szCs w:val="20"/>
          <w:lang w:val="en-GB"/>
        </w:rPr>
      </w:pPr>
    </w:p>
    <w:p w14:paraId="67F9076C" w14:textId="77777777" w:rsidR="0023201B" w:rsidRPr="0032647D" w:rsidRDefault="0023201B" w:rsidP="002324FD">
      <w:pPr>
        <w:spacing w:line="264" w:lineRule="auto"/>
        <w:jc w:val="both"/>
        <w:rPr>
          <w:rFonts w:cs="Arial"/>
          <w:sz w:val="20"/>
          <w:szCs w:val="20"/>
          <w:lang w:val="en-GB"/>
        </w:rPr>
      </w:pPr>
      <w:r w:rsidRPr="0032647D">
        <w:rPr>
          <w:rFonts w:cs="Arial"/>
          <w:sz w:val="20"/>
          <w:szCs w:val="20"/>
          <w:lang w:val="en-GB"/>
        </w:rPr>
        <w:t>A 2015 Human Rights Watch</w:t>
      </w:r>
      <w:r w:rsidRPr="0032647D">
        <w:rPr>
          <w:rStyle w:val="FootnoteReference"/>
          <w:rFonts w:cs="Arial"/>
          <w:sz w:val="20"/>
          <w:szCs w:val="20"/>
          <w:lang w:val="en-GB"/>
        </w:rPr>
        <w:footnoteReference w:id="20"/>
      </w:r>
      <w:r w:rsidRPr="0032647D">
        <w:rPr>
          <w:rFonts w:cs="Arial"/>
          <w:sz w:val="20"/>
          <w:szCs w:val="20"/>
          <w:lang w:val="en-GB"/>
        </w:rPr>
        <w:t xml:space="preserve"> study reported high levels of discrimination against children with disability in accessing education particularly in ordinary schools; failure to reasonably accommodate the learning needs of children with disability leading to such children not having access to the full range of subjects that children in mainstream schools access; failure to provide free education to learners in special schools and the requirement for learners with disabilities in ordinary schools to pay for class assistants as a condition for remaining in such schools; poor quality instruction due to lack of teacher training; and lack of preparation of children with disabilities for life after schooling.</w:t>
      </w:r>
    </w:p>
    <w:p w14:paraId="0E784AEB" w14:textId="77777777" w:rsidR="0023201B" w:rsidRPr="0032647D" w:rsidRDefault="0023201B" w:rsidP="002324FD">
      <w:pPr>
        <w:spacing w:line="264" w:lineRule="auto"/>
        <w:jc w:val="both"/>
        <w:rPr>
          <w:rFonts w:cs="Arial"/>
          <w:sz w:val="20"/>
          <w:szCs w:val="20"/>
          <w:lang w:val="en-GB"/>
        </w:rPr>
      </w:pPr>
    </w:p>
    <w:p w14:paraId="48F45C33" w14:textId="6181EC8A" w:rsidR="0023201B" w:rsidRPr="0032647D" w:rsidRDefault="0023201B" w:rsidP="002324FD">
      <w:pPr>
        <w:pStyle w:val="Heading4"/>
        <w:spacing w:after="0"/>
      </w:pPr>
      <w:r w:rsidRPr="0032647D">
        <w:t>Children affected by drought</w:t>
      </w:r>
    </w:p>
    <w:p w14:paraId="5A5BCA9A" w14:textId="3CD2012E"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 xml:space="preserve">The recent drought has also increased the challenges faced by some communities to facilitate access to education. For example, in a recent rapid assessment of the 5 most affected provinces, </w:t>
      </w:r>
      <w:r w:rsidR="00F61A73" w:rsidRPr="0032647D">
        <w:rPr>
          <w:rFonts w:cs="Arial"/>
          <w:bCs/>
          <w:iCs/>
          <w:sz w:val="20"/>
          <w:szCs w:val="20"/>
          <w:lang w:val="en-GB"/>
        </w:rPr>
        <w:t>51 per cent</w:t>
      </w:r>
      <w:r w:rsidRPr="0032647D">
        <w:rPr>
          <w:rFonts w:cs="Arial"/>
          <w:bCs/>
          <w:iCs/>
          <w:sz w:val="20"/>
          <w:szCs w:val="20"/>
          <w:lang w:val="en-GB"/>
        </w:rPr>
        <w:t xml:space="preserve"> of the 136 key informants observed that children have stopped going to school since the drought started.  The main reasons cited for children not going </w:t>
      </w:r>
      <w:r w:rsidR="00354449" w:rsidRPr="0032647D">
        <w:rPr>
          <w:rFonts w:cs="Arial"/>
          <w:bCs/>
          <w:iCs/>
          <w:sz w:val="20"/>
          <w:szCs w:val="20"/>
          <w:lang w:val="en-GB"/>
        </w:rPr>
        <w:t>to school were lack of food (60 per cent</w:t>
      </w:r>
      <w:r w:rsidRPr="0032647D">
        <w:rPr>
          <w:rFonts w:cs="Arial"/>
          <w:bCs/>
          <w:iCs/>
          <w:sz w:val="20"/>
          <w:szCs w:val="20"/>
          <w:lang w:val="en-GB"/>
        </w:rPr>
        <w:t>), lack of hygie</w:t>
      </w:r>
      <w:r w:rsidR="00F61A73" w:rsidRPr="0032647D">
        <w:rPr>
          <w:rFonts w:cs="Arial"/>
          <w:bCs/>
          <w:iCs/>
          <w:sz w:val="20"/>
          <w:szCs w:val="20"/>
          <w:lang w:val="en-GB"/>
        </w:rPr>
        <w:t>ne and sanitation in school (55 per cent</w:t>
      </w:r>
      <w:r w:rsidRPr="0032647D">
        <w:rPr>
          <w:rFonts w:cs="Arial"/>
          <w:bCs/>
          <w:iCs/>
          <w:sz w:val="20"/>
          <w:szCs w:val="20"/>
          <w:lang w:val="en-GB"/>
        </w:rPr>
        <w:t>) and needin</w:t>
      </w:r>
      <w:r w:rsidR="00354449" w:rsidRPr="0032647D">
        <w:rPr>
          <w:rFonts w:cs="Arial"/>
          <w:bCs/>
          <w:iCs/>
          <w:sz w:val="20"/>
          <w:szCs w:val="20"/>
          <w:lang w:val="en-GB"/>
        </w:rPr>
        <w:t>g to work for the family (37 per cent</w:t>
      </w:r>
      <w:r w:rsidRPr="0032647D">
        <w:rPr>
          <w:rFonts w:cs="Arial"/>
          <w:bCs/>
          <w:iCs/>
          <w:sz w:val="20"/>
          <w:szCs w:val="20"/>
          <w:lang w:val="en-GB"/>
        </w:rPr>
        <w:t>). Caregivers also noted that the drought was leading to increased sources of personal stress for children. Boys were reportedly stressed since the drought due to not bein</w:t>
      </w:r>
      <w:r w:rsidR="00354449" w:rsidRPr="0032647D">
        <w:rPr>
          <w:rFonts w:cs="Arial"/>
          <w:bCs/>
          <w:iCs/>
          <w:sz w:val="20"/>
          <w:szCs w:val="20"/>
          <w:lang w:val="en-GB"/>
        </w:rPr>
        <w:t>g able to go back to school (29 per cent</w:t>
      </w:r>
      <w:r w:rsidRPr="0032647D">
        <w:rPr>
          <w:rFonts w:cs="Arial"/>
          <w:bCs/>
          <w:iCs/>
          <w:sz w:val="20"/>
          <w:szCs w:val="20"/>
          <w:lang w:val="en-GB"/>
        </w:rPr>
        <w:t xml:space="preserve">), lack of water for </w:t>
      </w:r>
      <w:r w:rsidR="00F61A73" w:rsidRPr="0032647D">
        <w:rPr>
          <w:rFonts w:cs="Arial"/>
          <w:bCs/>
          <w:iCs/>
          <w:sz w:val="20"/>
          <w:szCs w:val="20"/>
          <w:lang w:val="en-GB"/>
        </w:rPr>
        <w:t>personal hygiene and health (25 per cent), and lack of food (28 per cent</w:t>
      </w:r>
      <w:r w:rsidRPr="0032647D">
        <w:rPr>
          <w:rFonts w:cs="Arial"/>
          <w:bCs/>
          <w:iCs/>
          <w:sz w:val="20"/>
          <w:szCs w:val="20"/>
          <w:lang w:val="en-GB"/>
        </w:rPr>
        <w:t>). Since the drought, girls have also experiencing distress related to not being able to go back t</w:t>
      </w:r>
      <w:r w:rsidR="00F61A73" w:rsidRPr="0032647D">
        <w:rPr>
          <w:rFonts w:cs="Arial"/>
          <w:bCs/>
          <w:iCs/>
          <w:sz w:val="20"/>
          <w:szCs w:val="20"/>
          <w:lang w:val="en-GB"/>
        </w:rPr>
        <w:t>o school (27 per cent</w:t>
      </w:r>
      <w:r w:rsidRPr="0032647D">
        <w:rPr>
          <w:rFonts w:cs="Arial"/>
          <w:bCs/>
          <w:iCs/>
          <w:sz w:val="20"/>
          <w:szCs w:val="20"/>
          <w:lang w:val="en-GB"/>
        </w:rPr>
        <w:t>), lack of water for personal hygiene and health</w:t>
      </w:r>
      <w:r w:rsidR="00F61A73" w:rsidRPr="0032647D">
        <w:rPr>
          <w:rFonts w:cs="Arial"/>
          <w:bCs/>
          <w:iCs/>
          <w:sz w:val="20"/>
          <w:szCs w:val="20"/>
          <w:lang w:val="en-GB"/>
        </w:rPr>
        <w:t xml:space="preserve"> (40</w:t>
      </w:r>
      <w:r w:rsidR="00354449" w:rsidRPr="0032647D">
        <w:rPr>
          <w:rFonts w:cs="Arial"/>
          <w:bCs/>
          <w:iCs/>
          <w:sz w:val="20"/>
          <w:szCs w:val="20"/>
          <w:lang w:val="en-GB"/>
        </w:rPr>
        <w:t xml:space="preserve"> per cent</w:t>
      </w:r>
      <w:r w:rsidR="00F61A73" w:rsidRPr="0032647D">
        <w:rPr>
          <w:rFonts w:cs="Arial"/>
          <w:bCs/>
          <w:iCs/>
          <w:sz w:val="20"/>
          <w:szCs w:val="20"/>
          <w:lang w:val="en-GB"/>
        </w:rPr>
        <w:t>), and sexual violence (22 per cent</w:t>
      </w:r>
      <w:r w:rsidRPr="0032647D">
        <w:rPr>
          <w:rFonts w:cs="Arial"/>
          <w:bCs/>
          <w:iCs/>
          <w:sz w:val="20"/>
          <w:szCs w:val="20"/>
          <w:lang w:val="en-GB"/>
        </w:rPr>
        <w:t>).</w:t>
      </w:r>
    </w:p>
    <w:p w14:paraId="579EB39E" w14:textId="77777777" w:rsidR="0023201B" w:rsidRPr="0032647D" w:rsidRDefault="0023201B" w:rsidP="002324FD">
      <w:pPr>
        <w:spacing w:line="264" w:lineRule="auto"/>
        <w:jc w:val="both"/>
        <w:rPr>
          <w:rFonts w:cs="Arial"/>
          <w:i/>
          <w:sz w:val="20"/>
          <w:szCs w:val="20"/>
          <w:lang w:val="en-GB"/>
        </w:rPr>
      </w:pPr>
    </w:p>
    <w:p w14:paraId="6114C90F" w14:textId="07BD2C80" w:rsidR="0023201B" w:rsidRPr="00BF414E" w:rsidRDefault="00E01F1A" w:rsidP="002324FD">
      <w:pPr>
        <w:pStyle w:val="Heading3"/>
        <w:spacing w:after="0"/>
        <w:rPr>
          <w:color w:val="009BFD" w:themeColor="accent1"/>
        </w:rPr>
      </w:pPr>
      <w:bookmarkStart w:id="2" w:name="_Toc464058090"/>
      <w:r w:rsidRPr="00BF414E">
        <w:rPr>
          <w:rStyle w:val="Heading3Char"/>
          <w:b/>
          <w:bCs/>
          <w:color w:val="009BFD" w:themeColor="accent1"/>
        </w:rPr>
        <w:t xml:space="preserve">Poor quality </w:t>
      </w:r>
      <w:r w:rsidR="00A348F8" w:rsidRPr="00BF414E">
        <w:rPr>
          <w:rStyle w:val="Heading3Char"/>
          <w:b/>
          <w:bCs/>
          <w:color w:val="009BFD" w:themeColor="accent1"/>
        </w:rPr>
        <w:t xml:space="preserve">education </w:t>
      </w:r>
      <w:r w:rsidRPr="00BF414E">
        <w:rPr>
          <w:rStyle w:val="Heading3Char"/>
          <w:b/>
          <w:bCs/>
          <w:color w:val="009BFD" w:themeColor="accent1"/>
        </w:rPr>
        <w:t>linked to in</w:t>
      </w:r>
      <w:r w:rsidR="0023201B" w:rsidRPr="00BF414E">
        <w:rPr>
          <w:rStyle w:val="Heading3Char"/>
          <w:b/>
          <w:bCs/>
          <w:color w:val="009BFD" w:themeColor="accent1"/>
        </w:rPr>
        <w:t>equity</w:t>
      </w:r>
      <w:bookmarkEnd w:id="2"/>
    </w:p>
    <w:p w14:paraId="446BF6B0" w14:textId="77777777" w:rsidR="0023201B" w:rsidRPr="0032647D" w:rsidRDefault="0023201B" w:rsidP="002324FD">
      <w:pPr>
        <w:spacing w:line="264" w:lineRule="auto"/>
        <w:jc w:val="both"/>
        <w:rPr>
          <w:rStyle w:val="Heading4Char"/>
          <w:sz w:val="20"/>
          <w:szCs w:val="20"/>
          <w:lang w:val="en-GB"/>
        </w:rPr>
      </w:pPr>
    </w:p>
    <w:p w14:paraId="683B6A2F" w14:textId="0C8C0145" w:rsidR="0023201B" w:rsidRPr="0032647D" w:rsidRDefault="0023201B" w:rsidP="002324FD">
      <w:pPr>
        <w:pStyle w:val="Heading4"/>
        <w:spacing w:after="0"/>
      </w:pPr>
      <w:r w:rsidRPr="0032647D">
        <w:rPr>
          <w:rStyle w:val="Heading4Char"/>
          <w:i/>
        </w:rPr>
        <w:t>Learner performance in national and internationally benchmarked tests</w:t>
      </w:r>
    </w:p>
    <w:p w14:paraId="6B05DFC3" w14:textId="0309BFD8"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While significant improvements have been reported in the matric pass rates (final year of schooling) between 2009 (60.6</w:t>
      </w:r>
      <w:r w:rsidR="0019294A" w:rsidRPr="0032647D">
        <w:rPr>
          <w:rFonts w:cs="Arial"/>
          <w:bCs/>
          <w:iCs/>
          <w:sz w:val="20"/>
          <w:szCs w:val="20"/>
          <w:lang w:val="en-GB"/>
        </w:rPr>
        <w:t xml:space="preserve"> per cent</w:t>
      </w:r>
      <w:r w:rsidRPr="0032647D">
        <w:rPr>
          <w:rFonts w:cs="Arial"/>
          <w:bCs/>
          <w:iCs/>
          <w:sz w:val="20"/>
          <w:szCs w:val="20"/>
          <w:lang w:val="en-GB"/>
        </w:rPr>
        <w:t>) and 2013 (</w:t>
      </w:r>
      <w:r w:rsidR="0019294A" w:rsidRPr="0032647D">
        <w:rPr>
          <w:rFonts w:cs="Arial"/>
          <w:bCs/>
          <w:iCs/>
          <w:color w:val="000000" w:themeColor="text1"/>
          <w:sz w:val="20"/>
          <w:szCs w:val="20"/>
          <w:lang w:val="en-GB"/>
        </w:rPr>
        <w:t>78 per cent</w:t>
      </w:r>
      <w:r w:rsidRPr="0032647D">
        <w:rPr>
          <w:rFonts w:cs="Arial"/>
          <w:bCs/>
          <w:iCs/>
          <w:sz w:val="20"/>
          <w:szCs w:val="20"/>
          <w:lang w:val="en-GB"/>
        </w:rPr>
        <w:t>), results dipped in 2014 (75.8</w:t>
      </w:r>
      <w:r w:rsidR="0019294A" w:rsidRPr="0032647D">
        <w:rPr>
          <w:rFonts w:cs="Arial"/>
          <w:bCs/>
          <w:iCs/>
          <w:sz w:val="20"/>
          <w:szCs w:val="20"/>
          <w:lang w:val="en-GB"/>
        </w:rPr>
        <w:t xml:space="preserve"> per cent) and 2015 (70.7 per cent</w:t>
      </w:r>
      <w:r w:rsidRPr="0032647D">
        <w:rPr>
          <w:rFonts w:cs="Arial"/>
          <w:bCs/>
          <w:iCs/>
          <w:sz w:val="20"/>
          <w:szCs w:val="20"/>
          <w:lang w:val="en-GB"/>
        </w:rPr>
        <w:t>) attributed to the introduction of the new progression policy.</w:t>
      </w:r>
      <w:r w:rsidRPr="0032647D">
        <w:rPr>
          <w:rStyle w:val="FootnoteReference"/>
          <w:rFonts w:cs="Arial"/>
          <w:bCs/>
          <w:iCs/>
          <w:sz w:val="20"/>
          <w:szCs w:val="20"/>
          <w:lang w:val="en-GB"/>
        </w:rPr>
        <w:footnoteReference w:id="21"/>
      </w:r>
      <w:r w:rsidRPr="0032647D">
        <w:rPr>
          <w:rFonts w:cs="Arial"/>
          <w:bCs/>
          <w:iCs/>
          <w:sz w:val="20"/>
          <w:szCs w:val="20"/>
          <w:lang w:val="en-GB"/>
        </w:rPr>
        <w:t xml:space="preserve"> While the progression policy is an attempt to address inefficiency in the system, it comes at the expense of quality with knock on effects on access to further education and training and labour market access. </w:t>
      </w:r>
      <w:r w:rsidRPr="0032647D">
        <w:rPr>
          <w:rFonts w:cs="Arial"/>
          <w:sz w:val="20"/>
          <w:szCs w:val="20"/>
          <w:lang w:val="en-GB"/>
        </w:rPr>
        <w:t>These outcomes do not correlate with the substantive fiscal investment on education, currently at 6 per cent of GDP.</w:t>
      </w:r>
    </w:p>
    <w:p w14:paraId="5B662BC8" w14:textId="77777777" w:rsidR="0023201B" w:rsidRPr="0032647D" w:rsidRDefault="0023201B" w:rsidP="002324FD">
      <w:pPr>
        <w:spacing w:line="264" w:lineRule="auto"/>
        <w:jc w:val="both"/>
        <w:rPr>
          <w:rFonts w:cs="Arial"/>
          <w:bCs/>
          <w:iCs/>
          <w:sz w:val="20"/>
          <w:szCs w:val="20"/>
          <w:lang w:val="en-GB"/>
        </w:rPr>
      </w:pPr>
    </w:p>
    <w:p w14:paraId="79AA7FE1" w14:textId="77777777" w:rsidR="0023201B" w:rsidRPr="0032647D" w:rsidRDefault="0023201B" w:rsidP="002324FD">
      <w:pPr>
        <w:spacing w:line="264" w:lineRule="auto"/>
        <w:jc w:val="both"/>
        <w:rPr>
          <w:rFonts w:cs="Arial"/>
          <w:sz w:val="20"/>
          <w:szCs w:val="20"/>
          <w:lang w:val="en-GB"/>
        </w:rPr>
      </w:pPr>
      <w:r w:rsidRPr="0032647D">
        <w:rPr>
          <w:rFonts w:cs="Arial"/>
          <w:sz w:val="20"/>
          <w:szCs w:val="20"/>
          <w:lang w:val="en-GB"/>
        </w:rPr>
        <w:t xml:space="preserve">Findings in the past from international assessment tests in reading, literacy and numeracy (TIMSS, PIRLS, </w:t>
      </w:r>
      <w:proofErr w:type="gramStart"/>
      <w:r w:rsidRPr="0032647D">
        <w:rPr>
          <w:rFonts w:cs="Arial"/>
          <w:sz w:val="20"/>
          <w:szCs w:val="20"/>
          <w:lang w:val="en-GB"/>
        </w:rPr>
        <w:t>SACMEQ</w:t>
      </w:r>
      <w:proofErr w:type="gramEnd"/>
      <w:r w:rsidRPr="0032647D">
        <w:rPr>
          <w:rFonts w:cs="Arial"/>
          <w:sz w:val="20"/>
          <w:szCs w:val="20"/>
          <w:lang w:val="en-GB"/>
        </w:rPr>
        <w:t xml:space="preserve">) have shown that South African children lack foundational skills. However, the 2011 TIMSS study reported an improvement in mathematics scores amongst Grade 9 learners to a score of 352 from a low of 285 in 2002 (500 is the benchmark average across all countries), especially amongst the most disadvantaged schools.   </w:t>
      </w:r>
    </w:p>
    <w:p w14:paraId="1CF8CDFB" w14:textId="77777777" w:rsidR="0023201B" w:rsidRPr="0032647D" w:rsidRDefault="0023201B" w:rsidP="002324FD">
      <w:pPr>
        <w:spacing w:line="264" w:lineRule="auto"/>
        <w:jc w:val="both"/>
        <w:rPr>
          <w:rFonts w:cs="Arial"/>
          <w:sz w:val="20"/>
          <w:szCs w:val="20"/>
          <w:lang w:val="en-GB"/>
        </w:rPr>
      </w:pPr>
    </w:p>
    <w:p w14:paraId="1002D7C0" w14:textId="77777777" w:rsidR="0023201B" w:rsidRPr="0032647D" w:rsidRDefault="0023201B" w:rsidP="002324FD">
      <w:pPr>
        <w:spacing w:line="264" w:lineRule="auto"/>
        <w:jc w:val="both"/>
        <w:rPr>
          <w:rFonts w:cs="Arial"/>
          <w:sz w:val="20"/>
          <w:szCs w:val="20"/>
          <w:lang w:val="en-GB"/>
        </w:rPr>
      </w:pPr>
      <w:r w:rsidRPr="0032647D">
        <w:rPr>
          <w:rFonts w:cs="Arial"/>
          <w:sz w:val="20"/>
          <w:szCs w:val="20"/>
          <w:lang w:val="en-GB"/>
        </w:rPr>
        <w:lastRenderedPageBreak/>
        <w:t>Since 2011, almost 7 million learners in South Africa write standardised tests in literacy and numeracy on an annual basis, known as the Annual National Assessments (ANA). By global standards, this is a significant achievement and provides a useful diagnostic of the health of the education system and an instrument to improve school and classroom practice. The results since 2011, however, have been a cause of concern.</w:t>
      </w:r>
    </w:p>
    <w:p w14:paraId="581B91C1" w14:textId="77777777" w:rsidR="0023201B" w:rsidRPr="0032647D" w:rsidRDefault="0023201B" w:rsidP="002324FD">
      <w:pPr>
        <w:spacing w:line="264" w:lineRule="auto"/>
        <w:jc w:val="both"/>
        <w:rPr>
          <w:rFonts w:cs="Arial"/>
          <w:sz w:val="20"/>
          <w:szCs w:val="20"/>
          <w:lang w:val="en-GB"/>
        </w:rPr>
      </w:pPr>
    </w:p>
    <w:p w14:paraId="34B36B03" w14:textId="5A4DCFA4" w:rsidR="0023201B" w:rsidRPr="0032647D" w:rsidRDefault="0019294A" w:rsidP="002324FD">
      <w:pPr>
        <w:spacing w:line="264" w:lineRule="auto"/>
        <w:jc w:val="both"/>
        <w:rPr>
          <w:rFonts w:cs="Arial"/>
          <w:sz w:val="20"/>
          <w:szCs w:val="20"/>
          <w:lang w:val="en-GB"/>
        </w:rPr>
      </w:pPr>
      <w:r w:rsidRPr="0032647D">
        <w:rPr>
          <w:rFonts w:cs="Arial"/>
          <w:sz w:val="20"/>
          <w:szCs w:val="20"/>
          <w:lang w:val="en-GB"/>
        </w:rPr>
        <w:t>In the 2014 ANA, literacy (56 per cent) and numeracy (56 per cent</w:t>
      </w:r>
      <w:r w:rsidR="0023201B" w:rsidRPr="0032647D">
        <w:rPr>
          <w:rFonts w:cs="Arial"/>
          <w:sz w:val="20"/>
          <w:szCs w:val="20"/>
          <w:lang w:val="en-GB"/>
        </w:rPr>
        <w:t>) levels amongst grade 3 learners remained low.  Worryingly so, in the same year literacy and numeracy levels were progress</w:t>
      </w:r>
      <w:r w:rsidRPr="0032647D">
        <w:rPr>
          <w:rFonts w:cs="Arial"/>
          <w:sz w:val="20"/>
          <w:szCs w:val="20"/>
          <w:lang w:val="en-GB"/>
        </w:rPr>
        <w:t>ively lower amongst Grade 6 (63 per cent, 43 per cent) and 9 (48 per cent</w:t>
      </w:r>
      <w:r w:rsidR="0023201B" w:rsidRPr="0032647D">
        <w:rPr>
          <w:rFonts w:cs="Arial"/>
          <w:sz w:val="20"/>
          <w:szCs w:val="20"/>
          <w:lang w:val="en-GB"/>
        </w:rPr>
        <w:t>, 11</w:t>
      </w:r>
      <w:r w:rsidRPr="0032647D">
        <w:rPr>
          <w:rFonts w:cs="Arial"/>
          <w:sz w:val="20"/>
          <w:szCs w:val="20"/>
          <w:lang w:val="en-GB"/>
        </w:rPr>
        <w:t xml:space="preserve"> per cent) learners respectively. Only 3 per cent</w:t>
      </w:r>
      <w:r w:rsidR="0023201B" w:rsidRPr="0032647D">
        <w:rPr>
          <w:rFonts w:cs="Arial"/>
          <w:sz w:val="20"/>
          <w:szCs w:val="20"/>
          <w:lang w:val="en-GB"/>
        </w:rPr>
        <w:t xml:space="preserve"> of Grade 9 learn</w:t>
      </w:r>
      <w:r w:rsidRPr="0032647D">
        <w:rPr>
          <w:rFonts w:cs="Arial"/>
          <w:sz w:val="20"/>
          <w:szCs w:val="20"/>
          <w:lang w:val="en-GB"/>
        </w:rPr>
        <w:t>ers in the system achieved a 50 per cent</w:t>
      </w:r>
      <w:r w:rsidR="0023201B" w:rsidRPr="0032647D">
        <w:rPr>
          <w:rFonts w:cs="Arial"/>
          <w:sz w:val="20"/>
          <w:szCs w:val="20"/>
          <w:lang w:val="en-GB"/>
        </w:rPr>
        <w:t xml:space="preserve"> pass mark in mathematics. Although the system has intimated improvements in results since the inception of ANA in 2011, year-on-year comparison is not possible with the current construction of ANA. </w:t>
      </w:r>
    </w:p>
    <w:p w14:paraId="621D1A05" w14:textId="77777777" w:rsidR="0023201B" w:rsidRPr="0032647D" w:rsidRDefault="0023201B" w:rsidP="002324FD">
      <w:pPr>
        <w:spacing w:line="264" w:lineRule="auto"/>
        <w:jc w:val="both"/>
        <w:rPr>
          <w:rFonts w:cs="Arial"/>
          <w:sz w:val="20"/>
          <w:szCs w:val="20"/>
          <w:lang w:val="en-GB"/>
        </w:rPr>
      </w:pPr>
    </w:p>
    <w:p w14:paraId="72197AB9" w14:textId="6B575C2B" w:rsidR="0023201B" w:rsidRPr="0032647D" w:rsidRDefault="0023201B" w:rsidP="002324FD">
      <w:pPr>
        <w:pStyle w:val="Heading4"/>
        <w:spacing w:after="0"/>
      </w:pPr>
      <w:r w:rsidRPr="0032647D">
        <w:rPr>
          <w:rStyle w:val="Heading4Char"/>
          <w:i/>
        </w:rPr>
        <w:t>Inequality of outcomes</w:t>
      </w:r>
      <w:r w:rsidRPr="0032647D">
        <w:t xml:space="preserve">  </w:t>
      </w:r>
    </w:p>
    <w:p w14:paraId="117C1A0B" w14:textId="5685F00F"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South Africa’s education system continues to reflect the inequality prevalent in the country and entrenches exclusion by provided poor quality education to those from poor and largely black communities.</w:t>
      </w:r>
      <w:r w:rsidRPr="0032647D">
        <w:rPr>
          <w:rStyle w:val="FootnoteReference"/>
          <w:rFonts w:cs="Arial"/>
          <w:bCs/>
          <w:iCs/>
          <w:sz w:val="20"/>
          <w:szCs w:val="20"/>
          <w:lang w:val="en-GB"/>
        </w:rPr>
        <w:footnoteReference w:id="22"/>
      </w:r>
      <w:r w:rsidRPr="0032647D">
        <w:rPr>
          <w:rFonts w:cs="Arial"/>
          <w:bCs/>
          <w:iCs/>
          <w:sz w:val="20"/>
          <w:szCs w:val="20"/>
          <w:lang w:val="en-GB"/>
        </w:rPr>
        <w:t xml:space="preserve"> The system demonstrates a bimodal curve with the quality of education provided to those from advantaged communities (Quintiles 4 and 5: fee paying schools, largely catering to those from higher socio-economic groups, and mostly White) far outperforming those from disadvantaged communities (Quintiles 1-3: no-fee paying schools, largely catering to those from lower socio economic groups, and predominantly Black). </w:t>
      </w:r>
    </w:p>
    <w:p w14:paraId="60FFE4DF" w14:textId="77777777" w:rsidR="0023201B" w:rsidRPr="0032647D" w:rsidRDefault="0023201B" w:rsidP="002324FD">
      <w:pPr>
        <w:spacing w:line="264" w:lineRule="auto"/>
        <w:jc w:val="both"/>
        <w:rPr>
          <w:rFonts w:cs="Arial"/>
          <w:bCs/>
          <w:iCs/>
          <w:sz w:val="20"/>
          <w:szCs w:val="20"/>
          <w:lang w:val="en-GB"/>
        </w:rPr>
      </w:pPr>
    </w:p>
    <w:p w14:paraId="53FC26C9" w14:textId="77777777"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Based on data from PIRLS on Grade 5 reading assessment and dividing schools based on their medium of instruction (English or Afrikaans vs. African language), researchers are able to show that the former far outperformed the latter in terms of learning outcomes.</w:t>
      </w:r>
      <w:r w:rsidRPr="0032647D">
        <w:rPr>
          <w:rStyle w:val="FootnoteReference"/>
          <w:rFonts w:cs="Arial"/>
          <w:bCs/>
          <w:iCs/>
          <w:sz w:val="20"/>
          <w:szCs w:val="20"/>
          <w:lang w:val="en-GB"/>
        </w:rPr>
        <w:footnoteReference w:id="23"/>
      </w:r>
      <w:r w:rsidRPr="0032647D">
        <w:rPr>
          <w:rFonts w:cs="Arial"/>
          <w:bCs/>
          <w:iCs/>
          <w:sz w:val="20"/>
          <w:szCs w:val="20"/>
          <w:lang w:val="en-GB"/>
        </w:rPr>
        <w:t xml:space="preserve">  Similar findings are reported in SACMEQ III for reading and mathematics based on socio-economic status.</w:t>
      </w:r>
      <w:r w:rsidRPr="0032647D">
        <w:rPr>
          <w:rStyle w:val="FootnoteReference"/>
          <w:rFonts w:cs="Arial"/>
          <w:bCs/>
          <w:iCs/>
          <w:sz w:val="20"/>
          <w:szCs w:val="20"/>
          <w:lang w:val="en-GB"/>
        </w:rPr>
        <w:footnoteReference w:id="24"/>
      </w:r>
      <w:r w:rsidRPr="0032647D">
        <w:rPr>
          <w:rFonts w:cs="Arial"/>
          <w:bCs/>
          <w:iCs/>
          <w:sz w:val="20"/>
          <w:szCs w:val="20"/>
          <w:lang w:val="en-GB"/>
        </w:rPr>
        <w:t xml:space="preserve"> This pattern is replicated in TIMSS, ANA and the NSC.</w:t>
      </w:r>
      <w:r w:rsidRPr="0032647D">
        <w:rPr>
          <w:rStyle w:val="FootnoteReference"/>
          <w:rFonts w:cs="Arial"/>
          <w:bCs/>
          <w:iCs/>
          <w:sz w:val="20"/>
          <w:szCs w:val="20"/>
          <w:lang w:val="en-GB"/>
        </w:rPr>
        <w:footnoteReference w:id="25"/>
      </w:r>
      <w:r w:rsidRPr="0032647D">
        <w:rPr>
          <w:rFonts w:cs="Arial"/>
          <w:bCs/>
          <w:iCs/>
          <w:sz w:val="20"/>
          <w:szCs w:val="20"/>
          <w:lang w:val="en-GB"/>
        </w:rPr>
        <w:t xml:space="preserve"> Van der Berg et al.</w:t>
      </w:r>
      <w:r w:rsidRPr="0032647D">
        <w:rPr>
          <w:rStyle w:val="FootnoteReference"/>
          <w:rFonts w:cs="Arial"/>
          <w:bCs/>
          <w:iCs/>
          <w:sz w:val="20"/>
          <w:szCs w:val="20"/>
          <w:lang w:val="en-GB"/>
        </w:rPr>
        <w:footnoteReference w:id="26"/>
      </w:r>
      <w:r w:rsidRPr="0032647D">
        <w:rPr>
          <w:rFonts w:cs="Arial"/>
          <w:bCs/>
          <w:iCs/>
          <w:sz w:val="20"/>
          <w:szCs w:val="20"/>
          <w:lang w:val="en-GB"/>
        </w:rPr>
        <w:t xml:space="preserve">, using the SACMEQ III data also show that rural children and poor children in South Africa perform worse that children from other African countries living under similar circumstances, despite better access to resources, better qualified teachers and lower learner: educator ratios in South Africa. </w:t>
      </w:r>
    </w:p>
    <w:p w14:paraId="0B68DCD1" w14:textId="77777777" w:rsidR="0023201B" w:rsidRPr="0032647D" w:rsidRDefault="0023201B" w:rsidP="002324FD">
      <w:pPr>
        <w:spacing w:line="264" w:lineRule="auto"/>
        <w:jc w:val="both"/>
        <w:rPr>
          <w:rFonts w:cs="Arial"/>
          <w:bCs/>
          <w:iCs/>
          <w:sz w:val="20"/>
          <w:szCs w:val="20"/>
          <w:lang w:val="en-GB"/>
        </w:rPr>
      </w:pPr>
    </w:p>
    <w:p w14:paraId="50EBF1B3" w14:textId="77777777"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A panel study using two rounds of TIMSS data showed that inequalities in performance early on in secondary school (Grade 8) is strongly predictive of making it to matric, passing matric and achievement in matric mathematics.</w:t>
      </w:r>
      <w:r w:rsidRPr="0032647D">
        <w:rPr>
          <w:rStyle w:val="FootnoteReference"/>
          <w:rFonts w:cs="Arial"/>
          <w:bCs/>
          <w:iCs/>
          <w:sz w:val="20"/>
          <w:szCs w:val="20"/>
          <w:lang w:val="en-GB"/>
        </w:rPr>
        <w:footnoteReference w:id="27"/>
      </w:r>
      <w:r w:rsidRPr="0032647D">
        <w:rPr>
          <w:rFonts w:cs="Arial"/>
          <w:bCs/>
          <w:iCs/>
          <w:sz w:val="20"/>
          <w:szCs w:val="20"/>
          <w:lang w:val="en-GB"/>
        </w:rPr>
        <w:t xml:space="preserve"> More recently data from the ANAs has been used to show that primary school outcomes (Grade 4) strongly mirror Grade 12 outcomes showing the endurance of disadvantage that children suffer early on in their educational trajectory and making the case for intervention early on.</w:t>
      </w:r>
      <w:r w:rsidRPr="0032647D">
        <w:rPr>
          <w:rStyle w:val="FootnoteReference"/>
          <w:rFonts w:cs="Arial"/>
          <w:bCs/>
          <w:iCs/>
          <w:sz w:val="20"/>
          <w:szCs w:val="20"/>
          <w:lang w:val="en-GB"/>
        </w:rPr>
        <w:footnoteReference w:id="28"/>
      </w:r>
    </w:p>
    <w:p w14:paraId="1F529A6D" w14:textId="77777777" w:rsidR="0023201B" w:rsidRPr="0032647D" w:rsidRDefault="0023201B" w:rsidP="002324FD">
      <w:pPr>
        <w:spacing w:line="264" w:lineRule="auto"/>
        <w:jc w:val="both"/>
        <w:rPr>
          <w:rFonts w:cs="Arial"/>
          <w:sz w:val="20"/>
          <w:szCs w:val="20"/>
          <w:lang w:val="en-GB"/>
        </w:rPr>
      </w:pPr>
    </w:p>
    <w:p w14:paraId="2F80CF57" w14:textId="7B91B851" w:rsidR="0023201B" w:rsidRPr="0032647D" w:rsidRDefault="0023201B" w:rsidP="002324FD">
      <w:pPr>
        <w:spacing w:line="264" w:lineRule="auto"/>
        <w:jc w:val="both"/>
        <w:rPr>
          <w:rFonts w:cs="Arial"/>
          <w:sz w:val="20"/>
          <w:szCs w:val="20"/>
          <w:lang w:val="en-GB"/>
        </w:rPr>
      </w:pPr>
      <w:r w:rsidRPr="0032647D">
        <w:rPr>
          <w:rFonts w:cs="Arial"/>
          <w:sz w:val="20"/>
          <w:szCs w:val="20"/>
          <w:lang w:val="en-GB"/>
        </w:rPr>
        <w:t xml:space="preserve">In South Africa increasing the quality of education is a priority so that at least all children have two years of pre-education and all children in grade three can read (NDP 2030). </w:t>
      </w:r>
      <w:r w:rsidRPr="0032647D">
        <w:rPr>
          <w:rFonts w:cs="Arial"/>
          <w:bCs/>
          <w:iCs/>
          <w:sz w:val="20"/>
          <w:szCs w:val="20"/>
          <w:lang w:val="en-GB"/>
        </w:rPr>
        <w:t>Quality of education is determined by a complex and expansive interplay of factors that have been extensively analysed and prioritised by the South African government (through the National Development Plan and the Medium Term Strategic Framework (MTSF) and the DBE, in particular.</w:t>
      </w:r>
    </w:p>
    <w:p w14:paraId="7B9F0A14" w14:textId="77777777" w:rsidR="0023201B" w:rsidRPr="0032647D" w:rsidRDefault="0023201B" w:rsidP="002324FD">
      <w:pPr>
        <w:spacing w:line="264" w:lineRule="auto"/>
        <w:jc w:val="both"/>
        <w:rPr>
          <w:rFonts w:cs="Arial"/>
          <w:bCs/>
          <w:iCs/>
          <w:sz w:val="20"/>
          <w:szCs w:val="20"/>
          <w:lang w:val="en-GB"/>
        </w:rPr>
      </w:pPr>
    </w:p>
    <w:p w14:paraId="6840C94E" w14:textId="77777777" w:rsidR="0023201B" w:rsidRPr="0032647D" w:rsidRDefault="0023201B" w:rsidP="002324FD">
      <w:pPr>
        <w:spacing w:line="264" w:lineRule="auto"/>
        <w:jc w:val="both"/>
        <w:rPr>
          <w:rFonts w:cs="Arial"/>
          <w:bCs/>
          <w:iCs/>
          <w:sz w:val="20"/>
          <w:szCs w:val="20"/>
          <w:lang w:val="en-GB"/>
        </w:rPr>
      </w:pPr>
      <w:r w:rsidRPr="0032647D">
        <w:rPr>
          <w:rStyle w:val="Heading4Char"/>
          <w:lang w:val="en-GB"/>
        </w:rPr>
        <w:t>Determinants of quality education</w:t>
      </w:r>
      <w:r w:rsidRPr="0032647D">
        <w:rPr>
          <w:rFonts w:cs="Arial"/>
          <w:bCs/>
          <w:iCs/>
          <w:sz w:val="20"/>
          <w:szCs w:val="20"/>
          <w:lang w:val="en-GB"/>
        </w:rPr>
        <w:t xml:space="preserve"> is articulated in the DBE’s sector plan entitled: Action Plan to 2019: Towards Schooling 2030  that identifies 13 goals focused on improving learner enrolment and attainment (largely based on ANA and the NSC and emphasizing ECD), followed by 14 goals on how learner </w:t>
      </w:r>
      <w:r w:rsidRPr="0032647D">
        <w:rPr>
          <w:rFonts w:cs="Arial"/>
          <w:bCs/>
          <w:iCs/>
          <w:sz w:val="20"/>
          <w:szCs w:val="20"/>
          <w:lang w:val="en-GB"/>
        </w:rPr>
        <w:lastRenderedPageBreak/>
        <w:t>enrolment and attainment will be improved.  These determinants to improve the quality of education are as follows:</w:t>
      </w:r>
    </w:p>
    <w:p w14:paraId="1877AB6D" w14:textId="77777777" w:rsidR="0023201B" w:rsidRPr="0032647D" w:rsidRDefault="0023201B" w:rsidP="002324FD">
      <w:pPr>
        <w:spacing w:line="264" w:lineRule="auto"/>
        <w:ind w:left="270" w:hanging="270"/>
        <w:jc w:val="both"/>
        <w:rPr>
          <w:rFonts w:cs="Arial"/>
          <w:bCs/>
          <w:iCs/>
          <w:sz w:val="20"/>
          <w:szCs w:val="20"/>
          <w:lang w:val="en-GB"/>
        </w:rPr>
      </w:pPr>
      <w:r w:rsidRPr="0032647D">
        <w:rPr>
          <w:rFonts w:cs="Arial"/>
          <w:bCs/>
          <w:iCs/>
          <w:sz w:val="20"/>
          <w:szCs w:val="20"/>
          <w:lang w:val="en-GB"/>
        </w:rPr>
        <w:t>•</w:t>
      </w:r>
      <w:r w:rsidRPr="0032647D">
        <w:rPr>
          <w:rFonts w:cs="Arial"/>
          <w:bCs/>
          <w:iCs/>
          <w:sz w:val="20"/>
          <w:szCs w:val="20"/>
          <w:lang w:val="en-GB"/>
        </w:rPr>
        <w:tab/>
        <w:t xml:space="preserve">recruiting high quality graduates into the profession; </w:t>
      </w:r>
    </w:p>
    <w:p w14:paraId="41F83244" w14:textId="77777777" w:rsidR="0023201B" w:rsidRPr="0032647D" w:rsidRDefault="0023201B" w:rsidP="002324FD">
      <w:pPr>
        <w:spacing w:line="264" w:lineRule="auto"/>
        <w:ind w:left="270" w:hanging="270"/>
        <w:jc w:val="both"/>
        <w:rPr>
          <w:rFonts w:cs="Arial"/>
          <w:bCs/>
          <w:iCs/>
          <w:sz w:val="20"/>
          <w:szCs w:val="20"/>
          <w:lang w:val="en-GB"/>
        </w:rPr>
      </w:pPr>
      <w:r w:rsidRPr="0032647D">
        <w:rPr>
          <w:rFonts w:cs="Arial"/>
          <w:bCs/>
          <w:iCs/>
          <w:sz w:val="20"/>
          <w:szCs w:val="20"/>
          <w:lang w:val="en-GB"/>
        </w:rPr>
        <w:t>•</w:t>
      </w:r>
      <w:r w:rsidRPr="0032647D">
        <w:rPr>
          <w:rFonts w:cs="Arial"/>
          <w:bCs/>
          <w:iCs/>
          <w:sz w:val="20"/>
          <w:szCs w:val="20"/>
          <w:lang w:val="en-GB"/>
        </w:rPr>
        <w:tab/>
        <w:t>increasing availability and better utilisation of teachers to avoid large class sizes;</w:t>
      </w:r>
    </w:p>
    <w:p w14:paraId="69AD20FC" w14:textId="77777777" w:rsidR="0023201B" w:rsidRPr="0032647D" w:rsidRDefault="0023201B" w:rsidP="002324FD">
      <w:pPr>
        <w:spacing w:line="264" w:lineRule="auto"/>
        <w:ind w:left="270" w:hanging="270"/>
        <w:jc w:val="both"/>
        <w:rPr>
          <w:rFonts w:cs="Arial"/>
          <w:bCs/>
          <w:iCs/>
          <w:sz w:val="20"/>
          <w:szCs w:val="20"/>
          <w:lang w:val="en-GB"/>
        </w:rPr>
      </w:pPr>
      <w:r w:rsidRPr="0032647D">
        <w:rPr>
          <w:rFonts w:cs="Arial"/>
          <w:bCs/>
          <w:iCs/>
          <w:sz w:val="20"/>
          <w:szCs w:val="20"/>
          <w:lang w:val="en-GB"/>
        </w:rPr>
        <w:t>•</w:t>
      </w:r>
      <w:r w:rsidRPr="0032647D">
        <w:rPr>
          <w:rFonts w:cs="Arial"/>
          <w:bCs/>
          <w:iCs/>
          <w:sz w:val="20"/>
          <w:szCs w:val="20"/>
          <w:lang w:val="en-GB"/>
        </w:rPr>
        <w:tab/>
        <w:t>improving the professionalization of the workforce, improving teachers’ subject and pedagogical content knowledge, and better use of ICT;</w:t>
      </w:r>
    </w:p>
    <w:p w14:paraId="31D74BEC" w14:textId="77777777" w:rsidR="0023201B" w:rsidRPr="0032647D" w:rsidRDefault="0023201B" w:rsidP="002324FD">
      <w:pPr>
        <w:spacing w:line="264" w:lineRule="auto"/>
        <w:ind w:left="270" w:hanging="270"/>
        <w:jc w:val="both"/>
        <w:rPr>
          <w:rFonts w:cs="Arial"/>
          <w:bCs/>
          <w:iCs/>
          <w:sz w:val="20"/>
          <w:szCs w:val="20"/>
          <w:lang w:val="en-GB"/>
        </w:rPr>
      </w:pPr>
      <w:r w:rsidRPr="0032647D">
        <w:rPr>
          <w:rFonts w:cs="Arial"/>
          <w:bCs/>
          <w:iCs/>
          <w:sz w:val="20"/>
          <w:szCs w:val="20"/>
          <w:lang w:val="en-GB"/>
        </w:rPr>
        <w:t>•</w:t>
      </w:r>
      <w:r w:rsidRPr="0032647D">
        <w:rPr>
          <w:rFonts w:cs="Arial"/>
          <w:bCs/>
          <w:iCs/>
          <w:sz w:val="20"/>
          <w:szCs w:val="20"/>
          <w:lang w:val="en-GB"/>
        </w:rPr>
        <w:tab/>
        <w:t>ensuring that the workforce is health and enjoys job satisfaction;</w:t>
      </w:r>
    </w:p>
    <w:p w14:paraId="2B88778D" w14:textId="77777777" w:rsidR="0023201B" w:rsidRPr="0032647D" w:rsidRDefault="0023201B" w:rsidP="002324FD">
      <w:pPr>
        <w:spacing w:line="264" w:lineRule="auto"/>
        <w:ind w:left="270" w:hanging="270"/>
        <w:jc w:val="both"/>
        <w:rPr>
          <w:rFonts w:cs="Arial"/>
          <w:bCs/>
          <w:iCs/>
          <w:sz w:val="20"/>
          <w:szCs w:val="20"/>
          <w:lang w:val="en-GB"/>
        </w:rPr>
      </w:pPr>
      <w:r w:rsidRPr="0032647D">
        <w:rPr>
          <w:rFonts w:cs="Arial"/>
          <w:bCs/>
          <w:iCs/>
          <w:sz w:val="20"/>
          <w:szCs w:val="20"/>
          <w:lang w:val="en-GB"/>
        </w:rPr>
        <w:t>•</w:t>
      </w:r>
      <w:r w:rsidRPr="0032647D">
        <w:rPr>
          <w:rFonts w:cs="Arial"/>
          <w:bCs/>
          <w:iCs/>
          <w:sz w:val="20"/>
          <w:szCs w:val="20"/>
          <w:lang w:val="en-GB"/>
        </w:rPr>
        <w:tab/>
        <w:t xml:space="preserve">improving effective curriculum coverage; </w:t>
      </w:r>
    </w:p>
    <w:p w14:paraId="2D5F1565" w14:textId="77777777" w:rsidR="0023201B" w:rsidRPr="0032647D" w:rsidRDefault="0023201B" w:rsidP="002324FD">
      <w:pPr>
        <w:spacing w:line="264" w:lineRule="auto"/>
        <w:ind w:left="270" w:hanging="270"/>
        <w:jc w:val="both"/>
        <w:rPr>
          <w:rFonts w:cs="Arial"/>
          <w:bCs/>
          <w:iCs/>
          <w:sz w:val="20"/>
          <w:szCs w:val="20"/>
          <w:lang w:val="en-GB"/>
        </w:rPr>
      </w:pPr>
      <w:r w:rsidRPr="0032647D">
        <w:rPr>
          <w:rFonts w:cs="Arial"/>
          <w:bCs/>
          <w:iCs/>
          <w:sz w:val="20"/>
          <w:szCs w:val="20"/>
          <w:lang w:val="en-GB"/>
        </w:rPr>
        <w:t>•</w:t>
      </w:r>
      <w:r w:rsidRPr="0032647D">
        <w:rPr>
          <w:rFonts w:cs="Arial"/>
          <w:bCs/>
          <w:iCs/>
          <w:sz w:val="20"/>
          <w:szCs w:val="20"/>
          <w:lang w:val="en-GB"/>
        </w:rPr>
        <w:tab/>
        <w:t>increasing provision of LTSM;</w:t>
      </w:r>
    </w:p>
    <w:p w14:paraId="33C48DDF" w14:textId="77777777" w:rsidR="0023201B" w:rsidRPr="0032647D" w:rsidRDefault="0023201B" w:rsidP="002324FD">
      <w:pPr>
        <w:spacing w:line="264" w:lineRule="auto"/>
        <w:ind w:left="270" w:hanging="270"/>
        <w:jc w:val="both"/>
        <w:rPr>
          <w:rFonts w:cs="Arial"/>
          <w:bCs/>
          <w:iCs/>
          <w:sz w:val="20"/>
          <w:szCs w:val="20"/>
          <w:lang w:val="en-GB"/>
        </w:rPr>
      </w:pPr>
      <w:r w:rsidRPr="0032647D">
        <w:rPr>
          <w:rFonts w:cs="Arial"/>
          <w:bCs/>
          <w:iCs/>
          <w:sz w:val="20"/>
          <w:szCs w:val="20"/>
          <w:lang w:val="en-GB"/>
        </w:rPr>
        <w:t>•</w:t>
      </w:r>
      <w:r w:rsidRPr="0032647D">
        <w:rPr>
          <w:rFonts w:cs="Arial"/>
          <w:bCs/>
          <w:iCs/>
          <w:sz w:val="20"/>
          <w:szCs w:val="20"/>
          <w:lang w:val="en-GB"/>
        </w:rPr>
        <w:tab/>
        <w:t xml:space="preserve">increasing access to a range ICT amongst learners; </w:t>
      </w:r>
    </w:p>
    <w:p w14:paraId="1683771C" w14:textId="77777777" w:rsidR="0023201B" w:rsidRPr="0032647D" w:rsidRDefault="0023201B" w:rsidP="002324FD">
      <w:pPr>
        <w:spacing w:line="264" w:lineRule="auto"/>
        <w:ind w:left="270" w:hanging="270"/>
        <w:jc w:val="both"/>
        <w:rPr>
          <w:rFonts w:cs="Arial"/>
          <w:bCs/>
          <w:iCs/>
          <w:sz w:val="20"/>
          <w:szCs w:val="20"/>
          <w:lang w:val="en-GB"/>
        </w:rPr>
      </w:pPr>
      <w:r w:rsidRPr="0032647D">
        <w:rPr>
          <w:rFonts w:cs="Arial"/>
          <w:bCs/>
          <w:iCs/>
          <w:sz w:val="20"/>
          <w:szCs w:val="20"/>
          <w:lang w:val="en-GB"/>
        </w:rPr>
        <w:t>•</w:t>
      </w:r>
      <w:r w:rsidRPr="0032647D">
        <w:rPr>
          <w:rFonts w:cs="Arial"/>
          <w:bCs/>
          <w:iCs/>
          <w:sz w:val="20"/>
          <w:szCs w:val="20"/>
          <w:lang w:val="en-GB"/>
        </w:rPr>
        <w:tab/>
        <w:t>ensuring basic annual management processes (business processes) to improve school functionality;</w:t>
      </w:r>
    </w:p>
    <w:p w14:paraId="4C7D3182" w14:textId="77777777" w:rsidR="0023201B" w:rsidRPr="0032647D" w:rsidRDefault="0023201B" w:rsidP="002324FD">
      <w:pPr>
        <w:spacing w:line="264" w:lineRule="auto"/>
        <w:ind w:left="270" w:hanging="270"/>
        <w:jc w:val="both"/>
        <w:rPr>
          <w:rFonts w:cs="Arial"/>
          <w:bCs/>
          <w:iCs/>
          <w:sz w:val="20"/>
          <w:szCs w:val="20"/>
          <w:lang w:val="en-GB"/>
        </w:rPr>
      </w:pPr>
      <w:r w:rsidRPr="0032647D">
        <w:rPr>
          <w:rFonts w:cs="Arial"/>
          <w:bCs/>
          <w:iCs/>
          <w:sz w:val="20"/>
          <w:szCs w:val="20"/>
          <w:lang w:val="en-GB"/>
        </w:rPr>
        <w:t>•</w:t>
      </w:r>
      <w:r w:rsidRPr="0032647D">
        <w:rPr>
          <w:rFonts w:cs="Arial"/>
          <w:bCs/>
          <w:iCs/>
          <w:sz w:val="20"/>
          <w:szCs w:val="20"/>
          <w:lang w:val="en-GB"/>
        </w:rPr>
        <w:tab/>
        <w:t>strengthening parent and community participation in school governance including through better use of ICT;</w:t>
      </w:r>
    </w:p>
    <w:p w14:paraId="79E114E0" w14:textId="77777777" w:rsidR="0023201B" w:rsidRPr="0032647D" w:rsidRDefault="0023201B" w:rsidP="002324FD">
      <w:pPr>
        <w:spacing w:line="264" w:lineRule="auto"/>
        <w:ind w:left="270" w:hanging="270"/>
        <w:jc w:val="both"/>
        <w:rPr>
          <w:rFonts w:cs="Arial"/>
          <w:bCs/>
          <w:iCs/>
          <w:sz w:val="20"/>
          <w:szCs w:val="20"/>
          <w:lang w:val="en-GB"/>
        </w:rPr>
      </w:pPr>
      <w:r w:rsidRPr="0032647D">
        <w:rPr>
          <w:rFonts w:cs="Arial"/>
          <w:bCs/>
          <w:iCs/>
          <w:sz w:val="20"/>
          <w:szCs w:val="20"/>
          <w:lang w:val="en-GB"/>
        </w:rPr>
        <w:t>•</w:t>
      </w:r>
      <w:r w:rsidRPr="0032647D">
        <w:rPr>
          <w:rFonts w:cs="Arial"/>
          <w:bCs/>
          <w:iCs/>
          <w:sz w:val="20"/>
          <w:szCs w:val="20"/>
          <w:lang w:val="en-GB"/>
        </w:rPr>
        <w:tab/>
        <w:t>ensuring the availability and transparent and effective use of school funding;</w:t>
      </w:r>
    </w:p>
    <w:p w14:paraId="4AEACE9C" w14:textId="77777777" w:rsidR="0023201B" w:rsidRPr="0032647D" w:rsidRDefault="0023201B" w:rsidP="002324FD">
      <w:pPr>
        <w:spacing w:line="264" w:lineRule="auto"/>
        <w:ind w:left="270" w:hanging="270"/>
        <w:jc w:val="both"/>
        <w:rPr>
          <w:rFonts w:cs="Arial"/>
          <w:bCs/>
          <w:iCs/>
          <w:sz w:val="20"/>
          <w:szCs w:val="20"/>
          <w:lang w:val="en-GB"/>
        </w:rPr>
      </w:pPr>
      <w:r w:rsidRPr="0032647D">
        <w:rPr>
          <w:rFonts w:cs="Arial"/>
          <w:bCs/>
          <w:iCs/>
          <w:sz w:val="20"/>
          <w:szCs w:val="20"/>
          <w:lang w:val="en-GB"/>
        </w:rPr>
        <w:t>•</w:t>
      </w:r>
      <w:r w:rsidRPr="0032647D">
        <w:rPr>
          <w:rFonts w:cs="Arial"/>
          <w:bCs/>
          <w:iCs/>
          <w:sz w:val="20"/>
          <w:szCs w:val="20"/>
          <w:lang w:val="en-GB"/>
        </w:rPr>
        <w:tab/>
        <w:t>improving physical infrastructure and the school environment;</w:t>
      </w:r>
    </w:p>
    <w:p w14:paraId="2D050C9E" w14:textId="77777777" w:rsidR="0023201B" w:rsidRPr="0032647D" w:rsidRDefault="0023201B" w:rsidP="002324FD">
      <w:pPr>
        <w:spacing w:line="264" w:lineRule="auto"/>
        <w:ind w:left="270" w:hanging="270"/>
        <w:jc w:val="both"/>
        <w:rPr>
          <w:rFonts w:cs="Arial"/>
          <w:bCs/>
          <w:iCs/>
          <w:sz w:val="20"/>
          <w:szCs w:val="20"/>
          <w:lang w:val="en-GB"/>
        </w:rPr>
      </w:pPr>
      <w:r w:rsidRPr="0032647D">
        <w:rPr>
          <w:rFonts w:cs="Arial"/>
          <w:bCs/>
          <w:iCs/>
          <w:sz w:val="20"/>
          <w:szCs w:val="20"/>
          <w:lang w:val="en-GB"/>
        </w:rPr>
        <w:t>•</w:t>
      </w:r>
      <w:r w:rsidRPr="0032647D">
        <w:rPr>
          <w:rFonts w:cs="Arial"/>
          <w:bCs/>
          <w:iCs/>
          <w:sz w:val="20"/>
          <w:szCs w:val="20"/>
          <w:lang w:val="en-GB"/>
        </w:rPr>
        <w:tab/>
        <w:t>addressing poverty, health and social barriers to teaching and learning including promoting sport and culture;</w:t>
      </w:r>
    </w:p>
    <w:p w14:paraId="35C1C9FD" w14:textId="1069A4DC" w:rsidR="0023201B" w:rsidRPr="0032647D" w:rsidRDefault="0023201B" w:rsidP="002324FD">
      <w:pPr>
        <w:spacing w:line="264" w:lineRule="auto"/>
        <w:ind w:left="270" w:hanging="270"/>
        <w:jc w:val="both"/>
        <w:rPr>
          <w:rFonts w:cs="Arial"/>
          <w:bCs/>
          <w:iCs/>
          <w:sz w:val="20"/>
          <w:szCs w:val="20"/>
          <w:lang w:val="en-GB"/>
        </w:rPr>
      </w:pPr>
      <w:r w:rsidRPr="0032647D">
        <w:rPr>
          <w:rFonts w:cs="Arial"/>
          <w:bCs/>
          <w:iCs/>
          <w:sz w:val="20"/>
          <w:szCs w:val="20"/>
          <w:lang w:val="en-GB"/>
        </w:rPr>
        <w:t>•</w:t>
      </w:r>
      <w:r w:rsidRPr="0032647D">
        <w:rPr>
          <w:rFonts w:cs="Arial"/>
          <w:bCs/>
          <w:iCs/>
          <w:sz w:val="20"/>
          <w:szCs w:val="20"/>
          <w:lang w:val="en-GB"/>
        </w:rPr>
        <w:tab/>
      </w:r>
      <w:r w:rsidR="00B57B6E" w:rsidRPr="0032647D">
        <w:rPr>
          <w:rFonts w:cs="Arial"/>
          <w:bCs/>
          <w:iCs/>
          <w:sz w:val="20"/>
          <w:szCs w:val="20"/>
          <w:lang w:val="en-GB"/>
        </w:rPr>
        <w:t>s</w:t>
      </w:r>
      <w:r w:rsidRPr="0032647D">
        <w:rPr>
          <w:rFonts w:cs="Arial"/>
          <w:bCs/>
          <w:iCs/>
          <w:sz w:val="20"/>
          <w:szCs w:val="20"/>
          <w:lang w:val="en-GB"/>
        </w:rPr>
        <w:t>trengthening inclusive education; and</w:t>
      </w:r>
    </w:p>
    <w:p w14:paraId="666EB86A" w14:textId="7C8C4602" w:rsidR="0023201B" w:rsidRPr="0032647D" w:rsidRDefault="00B57B6E" w:rsidP="002324FD">
      <w:pPr>
        <w:spacing w:line="264" w:lineRule="auto"/>
        <w:ind w:left="270" w:hanging="270"/>
        <w:jc w:val="both"/>
        <w:rPr>
          <w:rFonts w:cs="Arial"/>
          <w:bCs/>
          <w:iCs/>
          <w:sz w:val="20"/>
          <w:szCs w:val="20"/>
          <w:lang w:val="en-GB"/>
        </w:rPr>
      </w:pPr>
      <w:r w:rsidRPr="0032647D">
        <w:rPr>
          <w:rFonts w:cs="Arial"/>
          <w:bCs/>
          <w:iCs/>
          <w:sz w:val="20"/>
          <w:szCs w:val="20"/>
          <w:lang w:val="en-GB"/>
        </w:rPr>
        <w:t>•</w:t>
      </w:r>
      <w:r w:rsidRPr="0032647D">
        <w:rPr>
          <w:rFonts w:cs="Arial"/>
          <w:bCs/>
          <w:iCs/>
          <w:sz w:val="20"/>
          <w:szCs w:val="20"/>
          <w:lang w:val="en-GB"/>
        </w:rPr>
        <w:tab/>
        <w:t>p</w:t>
      </w:r>
      <w:r w:rsidR="0023201B" w:rsidRPr="0032647D">
        <w:rPr>
          <w:rFonts w:cs="Arial"/>
          <w:bCs/>
          <w:iCs/>
          <w:sz w:val="20"/>
          <w:szCs w:val="20"/>
          <w:lang w:val="en-GB"/>
        </w:rPr>
        <w:t>roviding quality district-based support and oversight.</w:t>
      </w:r>
    </w:p>
    <w:p w14:paraId="40A59B9D" w14:textId="77777777"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 xml:space="preserve"> </w:t>
      </w:r>
    </w:p>
    <w:p w14:paraId="2C4FBF76" w14:textId="77777777"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Within these 14 goals, DBE has flagged five determinants for prioritisation, namely ECD, teacher capacity, LTSM, school management and district support, together with assessment and e-Education as innovation priorities. These priorities resonate with both the NDP and MTSF with both also emphasizing the importance of addressing infrastructure backlogs and promoting mutual accountability between schools and communities.</w:t>
      </w:r>
    </w:p>
    <w:p w14:paraId="0A70DB27" w14:textId="77777777" w:rsidR="0023201B" w:rsidRPr="0032647D" w:rsidRDefault="0023201B" w:rsidP="002324FD">
      <w:pPr>
        <w:spacing w:line="264" w:lineRule="auto"/>
        <w:jc w:val="both"/>
        <w:rPr>
          <w:rFonts w:cs="Arial"/>
          <w:bCs/>
          <w:i/>
          <w:iCs/>
          <w:sz w:val="20"/>
          <w:szCs w:val="20"/>
          <w:lang w:val="en-GB"/>
        </w:rPr>
      </w:pPr>
    </w:p>
    <w:p w14:paraId="1177CCF8" w14:textId="3C8BA357" w:rsidR="0023201B" w:rsidRPr="0032647D" w:rsidRDefault="0023201B" w:rsidP="002324FD">
      <w:pPr>
        <w:pStyle w:val="Heading4"/>
        <w:spacing w:after="0"/>
      </w:pPr>
      <w:r w:rsidRPr="0032647D">
        <w:rPr>
          <w:rStyle w:val="Heading4Char"/>
          <w:i/>
        </w:rPr>
        <w:t>Weak teacher capacities, limited time on task</w:t>
      </w:r>
    </w:p>
    <w:p w14:paraId="26940D02" w14:textId="79BCB802"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Despite a high level of teacher qualifications (97% have qualification of matric plus a 3 year teaching diploma)</w:t>
      </w:r>
      <w:r w:rsidR="00B57B6E" w:rsidRPr="0032647D">
        <w:rPr>
          <w:rFonts w:cs="Arial"/>
          <w:bCs/>
          <w:iCs/>
          <w:sz w:val="20"/>
          <w:szCs w:val="20"/>
          <w:lang w:val="en-GB"/>
        </w:rPr>
        <w:t>,</w:t>
      </w:r>
      <w:r w:rsidRPr="0032647D">
        <w:rPr>
          <w:rStyle w:val="FootnoteReference"/>
          <w:rFonts w:cs="Arial"/>
          <w:bCs/>
          <w:iCs/>
          <w:sz w:val="20"/>
          <w:szCs w:val="20"/>
          <w:lang w:val="en-GB"/>
        </w:rPr>
        <w:footnoteReference w:id="29"/>
      </w:r>
      <w:r w:rsidRPr="0032647D">
        <w:rPr>
          <w:rFonts w:cs="Arial"/>
          <w:bCs/>
          <w:iCs/>
          <w:sz w:val="20"/>
          <w:szCs w:val="20"/>
          <w:lang w:val="en-GB"/>
        </w:rPr>
        <w:t xml:space="preserve"> albeit a disproportionately lower distribution of better qualified and more experienced teachers to Q1-3 schools, teacher subject knowledge</w:t>
      </w:r>
      <w:r w:rsidRPr="0032647D">
        <w:rPr>
          <w:rStyle w:val="FootnoteReference"/>
          <w:rFonts w:cs="Arial"/>
          <w:bCs/>
          <w:iCs/>
          <w:sz w:val="20"/>
          <w:szCs w:val="20"/>
          <w:lang w:val="en-GB"/>
        </w:rPr>
        <w:footnoteReference w:id="30"/>
      </w:r>
      <w:r w:rsidRPr="0032647D">
        <w:rPr>
          <w:rFonts w:cs="Arial"/>
          <w:bCs/>
          <w:iCs/>
          <w:sz w:val="20"/>
          <w:szCs w:val="20"/>
          <w:lang w:val="en-GB"/>
        </w:rPr>
        <w:t xml:space="preserve"> and pedagogical skills</w:t>
      </w:r>
      <w:r w:rsidRPr="0032647D">
        <w:rPr>
          <w:rStyle w:val="FootnoteReference"/>
          <w:rFonts w:cs="Arial"/>
          <w:bCs/>
          <w:iCs/>
          <w:sz w:val="20"/>
          <w:szCs w:val="20"/>
          <w:lang w:val="en-GB"/>
        </w:rPr>
        <w:footnoteReference w:id="31"/>
      </w:r>
      <w:r w:rsidRPr="0032647D">
        <w:rPr>
          <w:rFonts w:cs="Arial"/>
          <w:bCs/>
          <w:iCs/>
          <w:sz w:val="20"/>
          <w:szCs w:val="20"/>
          <w:lang w:val="en-GB"/>
        </w:rPr>
        <w:t>,</w:t>
      </w:r>
      <w:r w:rsidRPr="0032647D">
        <w:rPr>
          <w:rStyle w:val="FootnoteReference"/>
          <w:rFonts w:cs="Arial"/>
          <w:bCs/>
          <w:iCs/>
          <w:sz w:val="20"/>
          <w:szCs w:val="20"/>
          <w:lang w:val="en-GB"/>
        </w:rPr>
        <w:footnoteReference w:id="32"/>
      </w:r>
      <w:r w:rsidRPr="0032647D">
        <w:rPr>
          <w:rFonts w:cs="Arial"/>
          <w:bCs/>
          <w:iCs/>
          <w:sz w:val="20"/>
          <w:szCs w:val="20"/>
          <w:lang w:val="en-GB"/>
        </w:rPr>
        <w:t xml:space="preserve"> remains low. The 2011 School Monitoring Survey reported that teachers spend on average 39 hours a year on professional development, although half of teachers in the survey spent 12 hours or fewer each year.</w:t>
      </w:r>
      <w:r w:rsidRPr="0032647D">
        <w:rPr>
          <w:rStyle w:val="FootnoteReference"/>
          <w:rFonts w:cs="Arial"/>
          <w:bCs/>
          <w:iCs/>
          <w:sz w:val="20"/>
          <w:szCs w:val="20"/>
          <w:lang w:val="en-GB"/>
        </w:rPr>
        <w:footnoteReference w:id="33"/>
      </w:r>
      <w:r w:rsidRPr="0032647D">
        <w:rPr>
          <w:rFonts w:cs="Arial"/>
          <w:bCs/>
          <w:iCs/>
          <w:sz w:val="20"/>
          <w:szCs w:val="20"/>
          <w:lang w:val="en-GB"/>
        </w:rPr>
        <w:t xml:space="preserve"> A third of this time is spent on external training that has largely focused on orientation on the Curriculum and Assessment Policy Statements. Going forward the focus of training must be on strengthening subject knowledge and teaching methodology of an adequate benchmarked standard and quality, together with self-initiated professional development through professional learning communities, that are still in their infancy save for a few best practice examples, and through accelerated use of digital resources.</w:t>
      </w:r>
      <w:r w:rsidRPr="0032647D">
        <w:rPr>
          <w:rStyle w:val="FootnoteReference"/>
          <w:rFonts w:cs="Arial"/>
          <w:bCs/>
          <w:iCs/>
          <w:sz w:val="20"/>
          <w:szCs w:val="20"/>
          <w:lang w:val="en-GB"/>
        </w:rPr>
        <w:footnoteReference w:id="34"/>
      </w:r>
    </w:p>
    <w:p w14:paraId="18C3D527" w14:textId="77777777" w:rsidR="0023201B" w:rsidRPr="0032647D" w:rsidRDefault="0023201B" w:rsidP="002324FD">
      <w:pPr>
        <w:spacing w:line="264" w:lineRule="auto"/>
        <w:jc w:val="both"/>
        <w:rPr>
          <w:rFonts w:cs="Arial"/>
          <w:bCs/>
          <w:iCs/>
          <w:sz w:val="20"/>
          <w:szCs w:val="20"/>
          <w:lang w:val="en-GB"/>
        </w:rPr>
      </w:pPr>
    </w:p>
    <w:p w14:paraId="2BD50153" w14:textId="77777777"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In particular, given the very low levels of reading for meaning in home language reported in the foundation phase and very poor oral reading fluency in English Second Language in the intermediate phase, a strong focus in the foundation phase must be on acquiring reading skills with comprehension. Similar deficiencies exist in mathematics. This work must extend to the nine African languages together with the requisite curricular tools required, and be supported by a primary school teacher training course that teaches all foundation phase educators how to effectively teach reading and numeracy in African languages and in English given ‘</w:t>
      </w:r>
      <w:r w:rsidRPr="0032647D">
        <w:rPr>
          <w:rFonts w:cs="Arial"/>
          <w:bCs/>
          <w:i/>
          <w:iCs/>
          <w:sz w:val="20"/>
          <w:szCs w:val="20"/>
          <w:lang w:val="en-GB"/>
        </w:rPr>
        <w:t>the hierarchical nature of skills acquisition</w:t>
      </w:r>
      <w:r w:rsidRPr="0032647D">
        <w:rPr>
          <w:rFonts w:cs="Arial"/>
          <w:bCs/>
          <w:iCs/>
          <w:sz w:val="20"/>
          <w:szCs w:val="20"/>
          <w:lang w:val="en-GB"/>
        </w:rPr>
        <w:t xml:space="preserve">’. </w:t>
      </w:r>
      <w:r w:rsidRPr="0032647D">
        <w:rPr>
          <w:rStyle w:val="FootnoteReference"/>
          <w:rFonts w:cs="Arial"/>
          <w:bCs/>
          <w:iCs/>
          <w:sz w:val="20"/>
          <w:szCs w:val="20"/>
          <w:lang w:val="en-GB"/>
        </w:rPr>
        <w:footnoteReference w:id="35"/>
      </w:r>
    </w:p>
    <w:p w14:paraId="25A0A3EC" w14:textId="77777777" w:rsidR="0023201B" w:rsidRPr="0032647D" w:rsidRDefault="0023201B" w:rsidP="002324FD">
      <w:pPr>
        <w:spacing w:line="264" w:lineRule="auto"/>
        <w:jc w:val="both"/>
        <w:rPr>
          <w:rFonts w:cs="Arial"/>
          <w:bCs/>
          <w:iCs/>
          <w:sz w:val="20"/>
          <w:szCs w:val="20"/>
          <w:lang w:val="en-GB"/>
        </w:rPr>
      </w:pPr>
    </w:p>
    <w:p w14:paraId="7B8E799E" w14:textId="4EDCD558" w:rsidR="0023201B" w:rsidRPr="0032647D" w:rsidRDefault="0023201B" w:rsidP="002324FD">
      <w:pPr>
        <w:pStyle w:val="Heading4"/>
        <w:spacing w:after="0"/>
      </w:pPr>
      <w:r w:rsidRPr="0032647D">
        <w:rPr>
          <w:rStyle w:val="Heading4Char"/>
          <w:i/>
        </w:rPr>
        <w:t>Class size</w:t>
      </w:r>
    </w:p>
    <w:p w14:paraId="1EBD5540" w14:textId="23DCABE5"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lastRenderedPageBreak/>
        <w:t>Despite learner-educator ratios (32:1) now achieving acceptable levels</w:t>
      </w:r>
      <w:r w:rsidRPr="0032647D">
        <w:rPr>
          <w:rStyle w:val="FootnoteReference"/>
          <w:rFonts w:cs="Arial"/>
          <w:bCs/>
          <w:iCs/>
          <w:sz w:val="20"/>
          <w:szCs w:val="20"/>
          <w:lang w:val="en-GB"/>
        </w:rPr>
        <w:footnoteReference w:id="36"/>
      </w:r>
      <w:r w:rsidRPr="0032647D">
        <w:rPr>
          <w:rFonts w:cs="Arial"/>
          <w:bCs/>
          <w:iCs/>
          <w:sz w:val="20"/>
          <w:szCs w:val="20"/>
          <w:lang w:val="en-GB"/>
        </w:rPr>
        <w:t>, some schools still experience large classes, especially in the foundation phase where foundational skills must be taught</w:t>
      </w:r>
      <w:r w:rsidRPr="0032647D">
        <w:rPr>
          <w:rStyle w:val="FootnoteReference"/>
          <w:rFonts w:cs="Arial"/>
          <w:bCs/>
          <w:iCs/>
          <w:sz w:val="20"/>
          <w:szCs w:val="20"/>
          <w:lang w:val="en-GB"/>
        </w:rPr>
        <w:footnoteReference w:id="37"/>
      </w:r>
      <w:r w:rsidRPr="0032647D">
        <w:rPr>
          <w:rFonts w:cs="Arial"/>
          <w:bCs/>
          <w:iCs/>
          <w:sz w:val="20"/>
          <w:szCs w:val="20"/>
          <w:lang w:val="en-GB"/>
        </w:rPr>
        <w:t>, due to amongst others, teacher vacancies, substantial growth in enrolment (linked to populate growth and a larger age cohort working its way through the system) and poor management of teacher time in schools. The latter is linked to inefficient teacher utilisation (poor post-provisioning at national and provincial levels) and timetabling (limited administrative leadership at school level).</w:t>
      </w:r>
      <w:r w:rsidRPr="0032647D">
        <w:rPr>
          <w:rStyle w:val="FootnoteReference"/>
          <w:rFonts w:cs="Arial"/>
          <w:bCs/>
          <w:iCs/>
          <w:sz w:val="20"/>
          <w:szCs w:val="20"/>
          <w:lang w:val="en-GB"/>
        </w:rPr>
        <w:footnoteReference w:id="38"/>
      </w:r>
      <w:r w:rsidRPr="0032647D">
        <w:rPr>
          <w:rFonts w:cs="Arial"/>
          <w:bCs/>
          <w:iCs/>
          <w:sz w:val="20"/>
          <w:szCs w:val="20"/>
          <w:lang w:val="en-GB"/>
        </w:rPr>
        <w:t xml:space="preserve"> Bringing in teaching assistants could be one policy option to consider in allowing teachers focused attention with groups of learners falling behind in reading acquisition.</w:t>
      </w:r>
      <w:r w:rsidRPr="0032647D">
        <w:rPr>
          <w:rStyle w:val="FootnoteReference"/>
          <w:rFonts w:cs="Arial"/>
          <w:bCs/>
          <w:iCs/>
          <w:sz w:val="20"/>
          <w:szCs w:val="20"/>
          <w:lang w:val="en-GB"/>
        </w:rPr>
        <w:footnoteReference w:id="39"/>
      </w:r>
    </w:p>
    <w:p w14:paraId="607C3AC9" w14:textId="77777777" w:rsidR="0023201B" w:rsidRPr="0032647D" w:rsidRDefault="0023201B" w:rsidP="002324FD">
      <w:pPr>
        <w:spacing w:line="264" w:lineRule="auto"/>
        <w:jc w:val="both"/>
        <w:rPr>
          <w:rFonts w:cs="Arial"/>
          <w:sz w:val="20"/>
          <w:szCs w:val="20"/>
          <w:lang w:val="en-GB"/>
        </w:rPr>
      </w:pPr>
    </w:p>
    <w:p w14:paraId="4945EA9B" w14:textId="77777777" w:rsidR="0023201B" w:rsidRPr="0032647D" w:rsidRDefault="0023201B" w:rsidP="002324FD">
      <w:pPr>
        <w:pStyle w:val="Heading4"/>
        <w:spacing w:after="0"/>
        <w:rPr>
          <w:rStyle w:val="Heading4Char"/>
          <w:i/>
        </w:rPr>
      </w:pPr>
      <w:r w:rsidRPr="0032647D">
        <w:rPr>
          <w:rStyle w:val="Heading4Char"/>
          <w:i/>
        </w:rPr>
        <w:t>Curriculum coverage</w:t>
      </w:r>
    </w:p>
    <w:p w14:paraId="18E81640" w14:textId="1A4620DD" w:rsidR="0023201B" w:rsidRPr="0032647D" w:rsidRDefault="0023201B" w:rsidP="002324FD">
      <w:pPr>
        <w:spacing w:line="264" w:lineRule="auto"/>
        <w:jc w:val="both"/>
        <w:rPr>
          <w:rFonts w:cs="Arial"/>
          <w:sz w:val="20"/>
          <w:szCs w:val="20"/>
          <w:lang w:val="en-GB"/>
        </w:rPr>
      </w:pPr>
      <w:r w:rsidRPr="0032647D">
        <w:rPr>
          <w:rFonts w:cs="Arial"/>
          <w:sz w:val="20"/>
          <w:szCs w:val="20"/>
          <w:lang w:val="en-GB"/>
        </w:rPr>
        <w:t>Bold steps were taken during the past five years to ensure more structure in the curriculum and to reduce the administrative burden on teachers through the introduction of the Curriculum and Assessment Policy Statements (CAPS). However, curriculum coverage remains low with 53% nationally covering a basic minimum level of effort of seven maths exercises a month at Grade 9 and six language exercises per month at Grade 6, with significant provincial variation.</w:t>
      </w:r>
      <w:r w:rsidRPr="0032647D">
        <w:rPr>
          <w:rStyle w:val="FootnoteReference"/>
          <w:rFonts w:cs="Arial"/>
          <w:bCs/>
          <w:iCs/>
          <w:sz w:val="20"/>
          <w:szCs w:val="20"/>
          <w:lang w:val="en-GB"/>
        </w:rPr>
        <w:footnoteReference w:id="40"/>
      </w:r>
      <w:r w:rsidRPr="0032647D">
        <w:rPr>
          <w:rFonts w:cs="Arial"/>
          <w:sz w:val="20"/>
          <w:szCs w:val="20"/>
          <w:lang w:val="en-GB"/>
        </w:rPr>
        <w:t xml:space="preserve"> This is closely aligned to issues around time on task, poor instructional leadership (schools principals largely focusing on administration and not on curriculum leadership) and curriculum oversight and monitoring offered through district support. </w:t>
      </w:r>
    </w:p>
    <w:p w14:paraId="1AAA57F0" w14:textId="77777777" w:rsidR="0023201B" w:rsidRPr="0032647D" w:rsidRDefault="0023201B" w:rsidP="002324FD">
      <w:pPr>
        <w:spacing w:line="264" w:lineRule="auto"/>
        <w:jc w:val="both"/>
        <w:rPr>
          <w:rFonts w:cs="Arial"/>
          <w:bCs/>
          <w:iCs/>
          <w:sz w:val="20"/>
          <w:szCs w:val="20"/>
          <w:lang w:val="en-GB"/>
        </w:rPr>
      </w:pPr>
    </w:p>
    <w:p w14:paraId="13FC5EFE" w14:textId="77777777"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However, the perverse consequence of the introduction of pace setting and the monitoring thereof has meant that meeting timeframes is increasingly being prioritised at the expense of depth and actual learning, and in particular in meeting the different learning abilities of children through curriculum differentiation.  This is especially relevant in the case of the mainstreaming of inclusive education with a progressive shift away from special schools to inclusion of learners with disabilities into ordinary schools.  In other words, while curriculum is being covered, increasing numbers of children with and without disabilities are falling behind.</w:t>
      </w:r>
    </w:p>
    <w:p w14:paraId="53D4F0B7" w14:textId="77777777" w:rsidR="0023201B" w:rsidRPr="0032647D" w:rsidRDefault="0023201B" w:rsidP="002324FD">
      <w:pPr>
        <w:spacing w:line="264" w:lineRule="auto"/>
        <w:jc w:val="both"/>
        <w:rPr>
          <w:rFonts w:cs="Arial"/>
          <w:bCs/>
          <w:iCs/>
          <w:sz w:val="20"/>
          <w:szCs w:val="20"/>
          <w:lang w:val="en-GB"/>
        </w:rPr>
      </w:pPr>
    </w:p>
    <w:p w14:paraId="3426214B" w14:textId="063E1D01" w:rsidR="0023201B" w:rsidRPr="0032647D" w:rsidRDefault="0023201B" w:rsidP="002324FD">
      <w:pPr>
        <w:pStyle w:val="Heading4"/>
        <w:spacing w:after="0"/>
        <w:rPr>
          <w:rStyle w:val="Heading4Char"/>
          <w:i/>
        </w:rPr>
      </w:pPr>
      <w:r w:rsidRPr="0032647D">
        <w:rPr>
          <w:rStyle w:val="Heading4Char"/>
          <w:i/>
        </w:rPr>
        <w:t>Learning and Teaching Support Materials (LTSM)</w:t>
      </w:r>
    </w:p>
    <w:p w14:paraId="2B239065" w14:textId="35D8046D"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To support curriculum implementation, between 2011 and 2013, 117 million workbooks, textbooks and study guides were distributed by the national department across the system, over and above what provinces provide.  A number of studies (TIMSS, School Monitoring Survey and the GHS) have shown a rapidly increasing availability of texts in classrooms to support teaching and learning.   However, gaps do remain especially in Q1-3 schools serving poorer performing and disadvantaged learners. Workbooks have been internationally benchmarked. However, provision needs to be supported by mediation, to ensure optimal use of materials. Workbooks also offer a potential tool to monitor curriculum coverage.</w:t>
      </w:r>
    </w:p>
    <w:p w14:paraId="0E674C75" w14:textId="77777777" w:rsidR="0023201B" w:rsidRPr="0032647D" w:rsidRDefault="0023201B" w:rsidP="002324FD">
      <w:pPr>
        <w:spacing w:line="264" w:lineRule="auto"/>
        <w:jc w:val="both"/>
        <w:rPr>
          <w:rFonts w:cs="Arial"/>
          <w:bCs/>
          <w:iCs/>
          <w:sz w:val="20"/>
          <w:szCs w:val="20"/>
          <w:lang w:val="en-GB"/>
        </w:rPr>
      </w:pPr>
    </w:p>
    <w:p w14:paraId="0857F4F6" w14:textId="5F79375F" w:rsidR="0023201B" w:rsidRPr="0032647D" w:rsidRDefault="0023201B" w:rsidP="002324FD">
      <w:pPr>
        <w:pStyle w:val="Heading4"/>
        <w:spacing w:after="0"/>
      </w:pPr>
      <w:r w:rsidRPr="0032647D">
        <w:rPr>
          <w:rStyle w:val="Heading4Char"/>
          <w:i/>
        </w:rPr>
        <w:t>School Management</w:t>
      </w:r>
    </w:p>
    <w:p w14:paraId="2BECEF35" w14:textId="315D32F9"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 xml:space="preserve">It is common cause within the education system that school management is a critical lever for overall functionality of the school and for learning outcomes.  The School Monitoring Survey reported that in 2011, only 52 per cent of schools had the 11 key building blocks required for effective school management with 88 per cent of schools reporting the presence of a School Improvement Plan.  Anecdotal evidence suggests that the introduction of ANA has enabled school principals to hold educators accountable for education outcomes by identifying which teachers require support and which can serve as lead teachers.  Empowering school principals to better use ANA results to inform classroom practice is critical to strengthening teacher development and improving education outcomes. Aligned to this is ensuring the national roll out of competency assessments for principal appointments, a robust performance management system that is cascaded across the system, and strengthened national training for school managers. </w:t>
      </w:r>
    </w:p>
    <w:p w14:paraId="3BA1A1C4" w14:textId="77777777" w:rsidR="0023201B" w:rsidRPr="0032647D" w:rsidRDefault="0023201B" w:rsidP="002324FD">
      <w:pPr>
        <w:spacing w:line="264" w:lineRule="auto"/>
        <w:jc w:val="both"/>
        <w:rPr>
          <w:rFonts w:cs="Arial"/>
          <w:bCs/>
          <w:iCs/>
          <w:sz w:val="20"/>
          <w:szCs w:val="20"/>
          <w:lang w:val="en-GB"/>
        </w:rPr>
      </w:pPr>
    </w:p>
    <w:p w14:paraId="61E0C487" w14:textId="77777777" w:rsidR="001E1688" w:rsidRDefault="001E1688" w:rsidP="002324FD">
      <w:pPr>
        <w:pStyle w:val="Heading4"/>
        <w:spacing w:after="0"/>
        <w:rPr>
          <w:rStyle w:val="Heading4Char"/>
          <w:i/>
        </w:rPr>
      </w:pPr>
    </w:p>
    <w:p w14:paraId="06E06BCD" w14:textId="77777777" w:rsidR="001E1688" w:rsidRDefault="001E1688" w:rsidP="002324FD">
      <w:pPr>
        <w:pStyle w:val="Heading4"/>
        <w:spacing w:after="0"/>
        <w:rPr>
          <w:rStyle w:val="Heading4Char"/>
          <w:i/>
        </w:rPr>
      </w:pPr>
    </w:p>
    <w:p w14:paraId="484E2B33" w14:textId="0EFA52D2" w:rsidR="0023201B" w:rsidRPr="0032647D" w:rsidRDefault="0023201B" w:rsidP="002324FD">
      <w:pPr>
        <w:pStyle w:val="Heading4"/>
        <w:spacing w:after="0"/>
      </w:pPr>
      <w:r w:rsidRPr="0032647D">
        <w:rPr>
          <w:rStyle w:val="Heading4Char"/>
          <w:i/>
        </w:rPr>
        <w:lastRenderedPageBreak/>
        <w:t>District Level Support</w:t>
      </w:r>
    </w:p>
    <w:p w14:paraId="42C7AA0E" w14:textId="79DC2EBF"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The NDP recognises that school level deficiencies are a reflection of district level deficiencies  and that significant capacity strengthening and accountability is required at this level of the system on amongst others, “curriculum management, project management, data analysis and monitoring, planning, reporting, accounting and problem solving”.  This is borne out by the fact that the 2011 School Monitoring Survey reported that although 88% of schools surveyed were visited at least twice by district officials, only 50% of school principals rated the support provided by districts as satisfactory. Support to primary schools and particularly the foundation phase was much lower.  Strengthening the capacity of districts to make use of existing data available via amongst others, EMIS, SA SAMS, NSC results, and ANA results will go a long way in targeting support to the challenges faced by schools. Increasing support to primary schools is also of critical importance.</w:t>
      </w:r>
    </w:p>
    <w:p w14:paraId="00D3AA5D" w14:textId="77777777" w:rsidR="0023201B" w:rsidRPr="0032647D" w:rsidRDefault="0023201B" w:rsidP="002324FD">
      <w:pPr>
        <w:spacing w:line="264" w:lineRule="auto"/>
        <w:jc w:val="both"/>
        <w:rPr>
          <w:rFonts w:cs="Arial"/>
          <w:bCs/>
          <w:iCs/>
          <w:sz w:val="20"/>
          <w:szCs w:val="20"/>
          <w:lang w:val="en-GB"/>
        </w:rPr>
      </w:pPr>
    </w:p>
    <w:p w14:paraId="3447F877" w14:textId="2C141900" w:rsidR="0023201B" w:rsidRPr="0032647D" w:rsidRDefault="0023201B" w:rsidP="002324FD">
      <w:pPr>
        <w:pStyle w:val="Heading4"/>
        <w:spacing w:after="0"/>
      </w:pPr>
      <w:r w:rsidRPr="0032647D">
        <w:rPr>
          <w:rStyle w:val="Heading4Char"/>
          <w:i/>
        </w:rPr>
        <w:t>Accountability and Measurement</w:t>
      </w:r>
    </w:p>
    <w:p w14:paraId="533B6C01" w14:textId="4813AD38"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The Department’s innovation priorities around assessment and E-Education, together with the focus of the NDP on accountability are cross-cutting issues and interlinked with the determinants discussed above.</w:t>
      </w:r>
    </w:p>
    <w:p w14:paraId="29AB4160" w14:textId="77777777" w:rsidR="0023201B" w:rsidRPr="0032647D" w:rsidRDefault="0023201B" w:rsidP="002324FD">
      <w:pPr>
        <w:spacing w:line="264" w:lineRule="auto"/>
        <w:jc w:val="both"/>
        <w:rPr>
          <w:rFonts w:cs="Arial"/>
          <w:bCs/>
          <w:iCs/>
          <w:sz w:val="20"/>
          <w:szCs w:val="20"/>
          <w:lang w:val="en-GB"/>
        </w:rPr>
      </w:pPr>
    </w:p>
    <w:p w14:paraId="29F7CB1B" w14:textId="77777777"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 xml:space="preserve">The NDP makes a clarion call for the establishment of an “education accountability chain, with lines of responsibility from state to classroom”.  It advocates for a results oriented framework that is underpinned by publicly available performance indicators for each school. It recommends that districts must be accountable to schools for the frequency, quality and nature of support they provide to schools; and that schools in-turn must be accountable to education authorities and to school communities for their performance on key indicators. Parents are expected to account for the ‘behaviour, attitude, attendance and work ethic’ of their children. In addition, while children hold the right to receive quality basic education, they equally bear responsibility to participate optimally in the education experience and to create demand for quality education. Poor school management and weak school discipline – and two of the three key factors (the other being fewer highly qualified and more experiences teachers) as to why schools in poor communities continue to underperform.  </w:t>
      </w:r>
    </w:p>
    <w:p w14:paraId="22378C5F" w14:textId="77777777" w:rsidR="0023201B" w:rsidRPr="0032647D" w:rsidRDefault="0023201B" w:rsidP="002324FD">
      <w:pPr>
        <w:spacing w:line="264" w:lineRule="auto"/>
        <w:jc w:val="both"/>
        <w:rPr>
          <w:rFonts w:cs="Arial"/>
          <w:bCs/>
          <w:iCs/>
          <w:sz w:val="20"/>
          <w:szCs w:val="20"/>
          <w:lang w:val="en-GB"/>
        </w:rPr>
      </w:pPr>
    </w:p>
    <w:p w14:paraId="4810EFE1" w14:textId="77777777"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Measurement is a reliable accountability mechanism within the education system. DBE is engaging national and international experts on how to refocus ANA to attain the dual objectives of (1) producing performance information that is comparable over time and across provinces, and (2) changing school and classroom practices to improve performance. Some of the recommendations for the former is to limit the grades being tested to 3, 6 and 9, limit the sample size to ensure rigour and reliability, administer and mark the tests independently, ensure that tests are secure to avoid ‘teaching to the test’, and introducing anchor items. Recommendations for the latter are to ensure that guides are available for how districts, schools, teachers and parents can use the ANA results to improve performance. The importance of standardised testing cannot be overemphasized as the current system of school based assessment is weak as has been demonstrated relative to the performance in standardised testing via ANA and the NSC, leading to poor subject choices and ultimately poor learning outcomes.  Taylor et al (2015) have shown this to be the case in historically black schools where mathematical ability and performance was unrelated to the decision to take mathematics as a subject in Grade 12.</w:t>
      </w:r>
    </w:p>
    <w:p w14:paraId="4CCF5CA2" w14:textId="77777777" w:rsidR="0023201B" w:rsidRPr="0032647D" w:rsidRDefault="0023201B" w:rsidP="002324FD">
      <w:pPr>
        <w:spacing w:line="264" w:lineRule="auto"/>
        <w:jc w:val="both"/>
        <w:rPr>
          <w:rFonts w:cs="Arial"/>
          <w:bCs/>
          <w:iCs/>
          <w:sz w:val="20"/>
          <w:szCs w:val="20"/>
          <w:lang w:val="en-GB"/>
        </w:rPr>
      </w:pPr>
    </w:p>
    <w:p w14:paraId="1A0FD418" w14:textId="2CE323B8" w:rsidR="0023201B" w:rsidRPr="0032647D" w:rsidRDefault="0023201B" w:rsidP="002324FD">
      <w:pPr>
        <w:pStyle w:val="Heading4"/>
        <w:spacing w:after="0"/>
      </w:pPr>
      <w:r w:rsidRPr="0032647D">
        <w:rPr>
          <w:rStyle w:val="Heading4Char"/>
          <w:i/>
        </w:rPr>
        <w:t>Innovation</w:t>
      </w:r>
    </w:p>
    <w:p w14:paraId="4A21A125" w14:textId="6C484DF2" w:rsidR="0023201B" w:rsidRPr="0032647D" w:rsidRDefault="0023201B" w:rsidP="002324FD">
      <w:pPr>
        <w:spacing w:line="264" w:lineRule="auto"/>
        <w:jc w:val="both"/>
        <w:rPr>
          <w:rFonts w:cs="Arial"/>
          <w:sz w:val="20"/>
          <w:szCs w:val="20"/>
          <w:lang w:val="en-GB"/>
        </w:rPr>
      </w:pPr>
      <w:r w:rsidRPr="0032647D">
        <w:rPr>
          <w:rFonts w:cs="Arial"/>
          <w:bCs/>
          <w:iCs/>
          <w:sz w:val="20"/>
          <w:szCs w:val="20"/>
          <w:lang w:val="en-GB"/>
        </w:rPr>
        <w:t xml:space="preserve">The use of ICT in society is now ubiquitous. It has the potential to enable teaching and learning and to better enable administration of the schooling system. Although ICT uptake in schools has improved over time, South Africa remains behind other developing countries.  A policy gap exists in the DBE’s approach towards the use of ICT and any recommended strategies must be premised on clear links between the use of ICT and learning outcomes, for which the evidence is equivocal. Furthermore, while public-private partnerships have enabled small scale projects from which invaluable lessons have and can be learnt, lessons from elsewhere indicate that system-wide intervention is required to ensure scale and cost-effectiveness. The use of ICT for administration needs to shift away from compliance and a bottom up approach, to feeding information back into the system to better enable school administration and learner performance.  </w:t>
      </w:r>
    </w:p>
    <w:p w14:paraId="072FF0AC" w14:textId="77777777" w:rsidR="0023201B" w:rsidRPr="0032647D" w:rsidRDefault="0023201B" w:rsidP="002324FD">
      <w:pPr>
        <w:spacing w:line="264" w:lineRule="auto"/>
        <w:jc w:val="both"/>
        <w:rPr>
          <w:rFonts w:cs="Arial"/>
          <w:bCs/>
          <w:iCs/>
          <w:sz w:val="20"/>
          <w:szCs w:val="20"/>
          <w:lang w:val="en-GB"/>
        </w:rPr>
      </w:pPr>
    </w:p>
    <w:p w14:paraId="6A945B81" w14:textId="77777777" w:rsidR="001E1688" w:rsidRDefault="001E1688" w:rsidP="002324FD">
      <w:pPr>
        <w:pStyle w:val="Heading4"/>
        <w:spacing w:after="0"/>
        <w:rPr>
          <w:rStyle w:val="Heading4Char"/>
          <w:i/>
        </w:rPr>
      </w:pPr>
    </w:p>
    <w:p w14:paraId="5887615E" w14:textId="77777777" w:rsidR="001E1688" w:rsidRDefault="001E1688" w:rsidP="002324FD">
      <w:pPr>
        <w:pStyle w:val="Heading4"/>
        <w:spacing w:after="0"/>
        <w:rPr>
          <w:rStyle w:val="Heading4Char"/>
          <w:i/>
        </w:rPr>
      </w:pPr>
    </w:p>
    <w:p w14:paraId="20DE056A" w14:textId="2808A873" w:rsidR="0023201B" w:rsidRPr="0032647D" w:rsidRDefault="0023201B" w:rsidP="002324FD">
      <w:pPr>
        <w:pStyle w:val="Heading4"/>
        <w:spacing w:after="0"/>
      </w:pPr>
      <w:r w:rsidRPr="0032647D">
        <w:rPr>
          <w:rStyle w:val="Heading4Char"/>
          <w:i/>
        </w:rPr>
        <w:lastRenderedPageBreak/>
        <w:t>Infrastructure</w:t>
      </w:r>
    </w:p>
    <w:p w14:paraId="55309CFF" w14:textId="0082767F" w:rsidR="0023201B" w:rsidRPr="0032647D" w:rsidRDefault="0023201B" w:rsidP="002324FD">
      <w:pPr>
        <w:spacing w:line="264" w:lineRule="auto"/>
        <w:jc w:val="both"/>
        <w:rPr>
          <w:rFonts w:cs="Arial"/>
          <w:bCs/>
          <w:iCs/>
          <w:color w:val="FF0000"/>
          <w:sz w:val="20"/>
          <w:szCs w:val="20"/>
          <w:lang w:val="en-GB"/>
        </w:rPr>
      </w:pPr>
      <w:r w:rsidRPr="0032647D">
        <w:rPr>
          <w:rFonts w:cs="Arial"/>
          <w:bCs/>
          <w:iCs/>
          <w:sz w:val="20"/>
          <w:szCs w:val="20"/>
          <w:lang w:val="en-GB"/>
        </w:rPr>
        <w:t>Schooling is also still affected by a backlog of absent and/or poor quality infrastructure (with only 46 per cent of schools complying with the 2013 regulations on availability of water, toilets, electricity and a minimum number of classrooms. Note that if the minimum number of classrooms is excluded from the calculation then 84 per cent of schools comply with water, toilets and electricity).</w:t>
      </w:r>
      <w:r w:rsidRPr="0032647D">
        <w:rPr>
          <w:rStyle w:val="FootnoteReference"/>
          <w:rFonts w:cs="Arial"/>
          <w:bCs/>
          <w:iCs/>
          <w:sz w:val="20"/>
          <w:szCs w:val="20"/>
          <w:lang w:val="en-GB"/>
        </w:rPr>
        <w:footnoteReference w:id="41"/>
      </w:r>
      <w:r w:rsidRPr="0032647D">
        <w:rPr>
          <w:rFonts w:cs="Arial"/>
          <w:bCs/>
          <w:iCs/>
          <w:sz w:val="20"/>
          <w:szCs w:val="20"/>
          <w:lang w:val="en-GB"/>
        </w:rPr>
        <w:t xml:space="preserve"> </w:t>
      </w:r>
    </w:p>
    <w:p w14:paraId="4503CA6A" w14:textId="77777777" w:rsidR="0023201B" w:rsidRPr="0032647D" w:rsidRDefault="0023201B" w:rsidP="002324FD">
      <w:pPr>
        <w:spacing w:line="264" w:lineRule="auto"/>
        <w:jc w:val="both"/>
        <w:rPr>
          <w:rFonts w:cs="Arial"/>
          <w:bCs/>
          <w:iCs/>
          <w:sz w:val="20"/>
          <w:szCs w:val="20"/>
          <w:lang w:val="en-GB"/>
        </w:rPr>
      </w:pPr>
    </w:p>
    <w:p w14:paraId="6DE17702" w14:textId="4C6E5124" w:rsidR="0023201B" w:rsidRPr="00A67517" w:rsidRDefault="0023201B" w:rsidP="002324FD">
      <w:pPr>
        <w:pStyle w:val="Heading3"/>
        <w:spacing w:after="0"/>
        <w:rPr>
          <w:color w:val="009BFD" w:themeColor="accent1"/>
        </w:rPr>
      </w:pPr>
      <w:bookmarkStart w:id="3" w:name="_Toc464058091"/>
      <w:r w:rsidRPr="00A67517">
        <w:rPr>
          <w:color w:val="009BFD" w:themeColor="accent1"/>
        </w:rPr>
        <w:t>Unsafe and unsupportive school environment</w:t>
      </w:r>
      <w:bookmarkEnd w:id="3"/>
    </w:p>
    <w:p w14:paraId="4794F5F3" w14:textId="047DD7C5" w:rsidR="00767527"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 xml:space="preserve">A plethora of social and health concerns are also prevalent bearing in mind that schools reflect the socio-economic challenges of local communities. Two of the three million single and double orphans in the country can be found in schools. In delivering on </w:t>
      </w:r>
      <w:r w:rsidRPr="0032647D">
        <w:rPr>
          <w:rFonts w:cs="Arial"/>
          <w:bCs/>
          <w:i/>
          <w:iCs/>
          <w:sz w:val="20"/>
          <w:szCs w:val="20"/>
          <w:lang w:val="en-GB"/>
        </w:rPr>
        <w:t>all</w:t>
      </w:r>
      <w:r w:rsidRPr="0032647D">
        <w:rPr>
          <w:rFonts w:cs="Arial"/>
          <w:bCs/>
          <w:iCs/>
          <w:sz w:val="20"/>
          <w:szCs w:val="20"/>
          <w:lang w:val="en-GB"/>
        </w:rPr>
        <w:t xml:space="preserve"> children’s right to basic education, schools are confronted with amongst others, learners who are at risk for and/or living with or affected by HIV; </w:t>
      </w:r>
      <w:r w:rsidRPr="0032647D">
        <w:rPr>
          <w:rFonts w:cs="Arial"/>
          <w:sz w:val="20"/>
          <w:szCs w:val="20"/>
          <w:lang w:val="en-GB"/>
        </w:rPr>
        <w:t xml:space="preserve">lack of and/or inappropriate and poorly maintained infrastructure, violence and </w:t>
      </w:r>
      <w:r w:rsidRPr="0032647D">
        <w:rPr>
          <w:rFonts w:cs="Arial"/>
          <w:bCs/>
          <w:iCs/>
          <w:sz w:val="20"/>
          <w:szCs w:val="20"/>
          <w:lang w:val="en-GB"/>
        </w:rPr>
        <w:t>alcohol and drug use and abuse</w:t>
      </w:r>
      <w:r w:rsidRPr="0032647D">
        <w:rPr>
          <w:rFonts w:cs="Arial"/>
          <w:sz w:val="20"/>
          <w:szCs w:val="20"/>
          <w:lang w:val="en-GB"/>
        </w:rPr>
        <w:t xml:space="preserve">, </w:t>
      </w:r>
      <w:r w:rsidRPr="0032647D">
        <w:rPr>
          <w:rFonts w:cs="Arial"/>
          <w:bCs/>
          <w:iCs/>
          <w:sz w:val="20"/>
          <w:szCs w:val="20"/>
          <w:lang w:val="en-GB"/>
        </w:rPr>
        <w:t>declining but nevertheless high levels of teenage pregnancy; exposure to violence, corporal punishment</w:t>
      </w:r>
      <w:r w:rsidRPr="0032647D">
        <w:rPr>
          <w:rStyle w:val="FootnoteReference"/>
          <w:rFonts w:cs="Arial"/>
          <w:bCs/>
          <w:iCs/>
          <w:sz w:val="20"/>
          <w:szCs w:val="20"/>
          <w:lang w:val="en-GB"/>
        </w:rPr>
        <w:footnoteReference w:id="42"/>
      </w:r>
      <w:r w:rsidRPr="0032647D">
        <w:rPr>
          <w:rFonts w:cs="Arial"/>
          <w:bCs/>
          <w:iCs/>
          <w:sz w:val="20"/>
          <w:szCs w:val="20"/>
          <w:lang w:val="en-GB"/>
        </w:rPr>
        <w:t xml:space="preserve">, bullying, sexual harassment and abuse; low levels of physical activity; stunting, and, overweight and obese children, </w:t>
      </w:r>
      <w:r w:rsidRPr="0032647D">
        <w:rPr>
          <w:rFonts w:cs="Arial"/>
          <w:sz w:val="20"/>
          <w:szCs w:val="20"/>
          <w:lang w:val="en-GB"/>
        </w:rPr>
        <w:t>all of which create environment which is not safe and not facilitative of learning</w:t>
      </w:r>
      <w:r w:rsidRPr="0032647D">
        <w:rPr>
          <w:rFonts w:cs="Arial"/>
          <w:bCs/>
          <w:iCs/>
          <w:sz w:val="20"/>
          <w:szCs w:val="20"/>
          <w:lang w:val="en-GB"/>
        </w:rPr>
        <w:t>.</w:t>
      </w:r>
      <w:r w:rsidRPr="0032647D">
        <w:rPr>
          <w:rStyle w:val="FootnoteReference"/>
          <w:rFonts w:cs="Arial"/>
          <w:bCs/>
          <w:iCs/>
          <w:sz w:val="20"/>
          <w:szCs w:val="20"/>
          <w:lang w:val="en-GB"/>
        </w:rPr>
        <w:footnoteReference w:id="43"/>
      </w:r>
      <w:r w:rsidRPr="0032647D">
        <w:rPr>
          <w:rFonts w:cs="Arial"/>
          <w:bCs/>
          <w:iCs/>
          <w:sz w:val="20"/>
          <w:szCs w:val="20"/>
          <w:lang w:val="en-GB"/>
        </w:rPr>
        <w:t xml:space="preserve"> </w:t>
      </w:r>
      <w:r w:rsidR="00767527" w:rsidRPr="0032647D">
        <w:rPr>
          <w:rFonts w:cs="Arial"/>
          <w:bCs/>
          <w:iCs/>
          <w:sz w:val="20"/>
          <w:szCs w:val="20"/>
          <w:lang w:val="en-GB"/>
        </w:rPr>
        <w:t xml:space="preserve"> </w:t>
      </w:r>
      <w:r w:rsidRPr="0032647D">
        <w:rPr>
          <w:rFonts w:cs="Arial"/>
          <w:bCs/>
          <w:iCs/>
          <w:sz w:val="20"/>
          <w:szCs w:val="20"/>
          <w:lang w:val="en-GB"/>
        </w:rPr>
        <w:t xml:space="preserve">All of these social ills in a context of poverty, stigma, discrimination, lack of information and/or misinformation, intersect with poor quality education and either singularly or collectively impact on children’s ability to stay in school and to perform optimally. </w:t>
      </w:r>
    </w:p>
    <w:p w14:paraId="41607E8A" w14:textId="77777777" w:rsidR="00767527" w:rsidRPr="0032647D" w:rsidRDefault="00767527" w:rsidP="002324FD">
      <w:pPr>
        <w:spacing w:line="264" w:lineRule="auto"/>
        <w:jc w:val="both"/>
        <w:rPr>
          <w:rFonts w:cs="Arial"/>
          <w:bCs/>
          <w:iCs/>
          <w:sz w:val="20"/>
          <w:szCs w:val="20"/>
          <w:lang w:val="en-GB"/>
        </w:rPr>
      </w:pPr>
    </w:p>
    <w:p w14:paraId="51FCDE36" w14:textId="41EEE10C" w:rsidR="0023201B" w:rsidRPr="0032647D" w:rsidRDefault="0023201B" w:rsidP="002324FD">
      <w:pPr>
        <w:spacing w:line="264" w:lineRule="auto"/>
        <w:jc w:val="both"/>
        <w:rPr>
          <w:rFonts w:cs="Arial"/>
          <w:bCs/>
          <w:iCs/>
          <w:sz w:val="20"/>
          <w:szCs w:val="20"/>
          <w:lang w:val="en-GB"/>
        </w:rPr>
      </w:pPr>
      <w:r w:rsidRPr="0032647D">
        <w:rPr>
          <w:rFonts w:cs="Arial"/>
          <w:bCs/>
          <w:iCs/>
          <w:sz w:val="20"/>
          <w:szCs w:val="20"/>
          <w:lang w:val="en-GB"/>
        </w:rPr>
        <w:t>The government of South Africa has fully embraced the fact that effective learning and teaching is underpinned by adequate psychosocial wellbeing and psychosocial support services as well as the school health programmes are being considered as critical components to learning.</w:t>
      </w:r>
      <w:r w:rsidR="00767527" w:rsidRPr="0032647D">
        <w:rPr>
          <w:rFonts w:cs="Arial"/>
          <w:bCs/>
          <w:iCs/>
          <w:sz w:val="20"/>
          <w:szCs w:val="20"/>
          <w:lang w:val="en-GB"/>
        </w:rPr>
        <w:t xml:space="preserve"> Government has been implementing </w:t>
      </w:r>
      <w:r w:rsidRPr="0032647D">
        <w:rPr>
          <w:rFonts w:cs="Arial"/>
          <w:bCs/>
          <w:iCs/>
          <w:sz w:val="20"/>
          <w:szCs w:val="20"/>
          <w:lang w:val="en-GB"/>
        </w:rPr>
        <w:t xml:space="preserve">a basket of pro-poor interventions including </w:t>
      </w:r>
      <w:r w:rsidR="00767527" w:rsidRPr="0032647D">
        <w:rPr>
          <w:rFonts w:cs="Arial"/>
          <w:bCs/>
          <w:iCs/>
          <w:sz w:val="20"/>
          <w:szCs w:val="20"/>
          <w:lang w:val="en-GB"/>
        </w:rPr>
        <w:t xml:space="preserve">the </w:t>
      </w:r>
      <w:r w:rsidRPr="0032647D">
        <w:rPr>
          <w:rFonts w:cs="Arial"/>
          <w:bCs/>
          <w:iCs/>
          <w:sz w:val="20"/>
          <w:szCs w:val="20"/>
          <w:lang w:val="en-GB"/>
        </w:rPr>
        <w:t>child support grant,</w:t>
      </w:r>
      <w:r w:rsidR="00214D35" w:rsidRPr="0032647D">
        <w:rPr>
          <w:rFonts w:cs="Arial"/>
          <w:bCs/>
          <w:iCs/>
          <w:sz w:val="20"/>
          <w:szCs w:val="20"/>
          <w:lang w:val="en-GB"/>
        </w:rPr>
        <w:t xml:space="preserve"> family strengthening and parenting programmes,</w:t>
      </w:r>
      <w:r w:rsidRPr="0032647D">
        <w:rPr>
          <w:rFonts w:cs="Arial"/>
          <w:bCs/>
          <w:iCs/>
          <w:sz w:val="20"/>
          <w:szCs w:val="20"/>
          <w:lang w:val="en-GB"/>
        </w:rPr>
        <w:t xml:space="preserve"> no-fee paying schools (for approximately 86 per cent of schools and 73 per cent of learners), fee exemptions, instituting a feeding programme that offers a hot cooked meal to 9 million learners on a daily basis; educating learners about HIV and offering school health services; and offering opportunities for positive youth development through life skills programmes, social cohesion programmes, peer education programmes, music for development and sport for development </w:t>
      </w:r>
      <w:r w:rsidRPr="0032647D">
        <w:rPr>
          <w:rFonts w:cs="Arial"/>
          <w:sz w:val="20"/>
          <w:szCs w:val="20"/>
          <w:lang w:val="en-GB"/>
        </w:rPr>
        <w:t>as cost-effective tool for youth education, life-long learning and healthy living.</w:t>
      </w:r>
      <w:r w:rsidRPr="0032647D">
        <w:rPr>
          <w:rStyle w:val="FootnoteReference"/>
          <w:rFonts w:cs="Arial"/>
          <w:sz w:val="20"/>
          <w:szCs w:val="20"/>
          <w:lang w:val="en-GB"/>
        </w:rPr>
        <w:footnoteReference w:id="44"/>
      </w:r>
      <w:r w:rsidRPr="0032647D">
        <w:rPr>
          <w:rFonts w:cs="Arial"/>
          <w:sz w:val="20"/>
          <w:szCs w:val="20"/>
          <w:lang w:val="en-GB"/>
        </w:rPr>
        <w:t xml:space="preserve">  </w:t>
      </w:r>
    </w:p>
    <w:p w14:paraId="68188A53" w14:textId="77777777" w:rsidR="0023201B" w:rsidRPr="0032647D" w:rsidRDefault="0023201B" w:rsidP="002324FD">
      <w:pPr>
        <w:spacing w:line="264" w:lineRule="auto"/>
        <w:jc w:val="both"/>
        <w:rPr>
          <w:rFonts w:cs="Arial"/>
          <w:bCs/>
          <w:iCs/>
          <w:sz w:val="20"/>
          <w:szCs w:val="20"/>
          <w:lang w:val="en-GB"/>
        </w:rPr>
      </w:pPr>
    </w:p>
    <w:p w14:paraId="126C7AFC" w14:textId="7642C033" w:rsidR="0023201B" w:rsidRPr="0032647D" w:rsidRDefault="0023201B" w:rsidP="002324FD">
      <w:pPr>
        <w:pStyle w:val="Heading4"/>
        <w:spacing w:after="0"/>
      </w:pPr>
      <w:r w:rsidRPr="0032647D">
        <w:t>School Health and WASH</w:t>
      </w:r>
    </w:p>
    <w:p w14:paraId="5D277113" w14:textId="77777777" w:rsidR="002315FE" w:rsidRPr="0032647D" w:rsidRDefault="002315FE" w:rsidP="002324FD">
      <w:pPr>
        <w:spacing w:line="264" w:lineRule="auto"/>
        <w:jc w:val="both"/>
        <w:rPr>
          <w:sz w:val="20"/>
          <w:szCs w:val="20"/>
          <w:lang w:val="en-GB"/>
        </w:rPr>
      </w:pPr>
      <w:r w:rsidRPr="0032647D">
        <w:rPr>
          <w:sz w:val="20"/>
          <w:szCs w:val="20"/>
          <w:lang w:val="en-GB"/>
        </w:rPr>
        <w:t>As of 2016, 11497 of 23909 have flush toilets. However, 9201 schools have only basic pit latrines with 68 schools having no facilities. While most schools reported having some sort of water supply, 7,626 schools report unreliable water supply and 169 schools had no water supply.</w:t>
      </w:r>
      <w:r w:rsidRPr="0032647D">
        <w:rPr>
          <w:rStyle w:val="FootnoteReference"/>
          <w:sz w:val="20"/>
          <w:szCs w:val="20"/>
          <w:lang w:val="en-GB"/>
        </w:rPr>
        <w:footnoteReference w:id="45"/>
      </w:r>
      <w:r w:rsidRPr="0032647D">
        <w:rPr>
          <w:sz w:val="20"/>
          <w:szCs w:val="20"/>
          <w:lang w:val="en-GB"/>
        </w:rPr>
        <w:t xml:space="preserve"> In response to the crisis in infrastructure backlogs, in 2009 the Department of Basic Education set up the Accelerated School Infrastructure Delivery Initiative (ASIDI) and is now in the process of setting up an infrastructure branch dedicated to dealing with infrastructure backlogs. However, progress in dealing with the infrastructure backlog has been uneven and slow.  </w:t>
      </w:r>
    </w:p>
    <w:p w14:paraId="4D29CCDA" w14:textId="77777777" w:rsidR="002315FE" w:rsidRPr="0032647D" w:rsidRDefault="002315FE" w:rsidP="002324FD">
      <w:pPr>
        <w:spacing w:line="264" w:lineRule="auto"/>
        <w:jc w:val="both"/>
        <w:rPr>
          <w:rFonts w:cs="Arial"/>
          <w:bCs/>
          <w:iCs/>
          <w:sz w:val="20"/>
          <w:szCs w:val="20"/>
          <w:lang w:val="en-GB"/>
        </w:rPr>
      </w:pPr>
    </w:p>
    <w:p w14:paraId="57A4B710" w14:textId="77777777" w:rsidR="002315FE" w:rsidRPr="0032647D" w:rsidRDefault="002315FE" w:rsidP="002324FD">
      <w:pPr>
        <w:pStyle w:val="Default"/>
        <w:spacing w:line="264" w:lineRule="auto"/>
        <w:jc w:val="both"/>
        <w:rPr>
          <w:rFonts w:ascii="Arial" w:hAnsi="Arial" w:cs="Arial"/>
          <w:i/>
          <w:color w:val="auto"/>
          <w:sz w:val="20"/>
          <w:szCs w:val="20"/>
          <w:lang w:val="en-GB"/>
        </w:rPr>
      </w:pPr>
      <w:r w:rsidRPr="0032647D">
        <w:rPr>
          <w:rFonts w:ascii="Arial" w:hAnsi="Arial" w:cs="Arial"/>
          <w:color w:val="auto"/>
          <w:sz w:val="20"/>
          <w:szCs w:val="20"/>
          <w:lang w:val="en-GB"/>
        </w:rPr>
        <w:t>For adolescent girls, a</w:t>
      </w:r>
      <w:r w:rsidRPr="0032647D">
        <w:rPr>
          <w:rFonts w:ascii="Arial" w:eastAsia="Times New Roman" w:hAnsi="Arial" w:cs="Arial"/>
          <w:color w:val="auto"/>
          <w:sz w:val="20"/>
          <w:szCs w:val="20"/>
          <w:lang w:val="en-GB"/>
        </w:rPr>
        <w:t xml:space="preserve">ccess to basic facilities for menstrual hygiene management is critically important for health, safety and dignity. Estimated </w:t>
      </w:r>
      <w:r w:rsidRPr="0032647D">
        <w:rPr>
          <w:rFonts w:ascii="Arial" w:hAnsi="Arial" w:cs="Arial"/>
          <w:color w:val="auto"/>
          <w:sz w:val="20"/>
          <w:szCs w:val="20"/>
          <w:lang w:val="en-GB"/>
        </w:rPr>
        <w:t>30 per cent of girls from poorer communities where access to sanitary resources is difficult do not attend school during menstruation. Many schools in South Africa have inadequate sanitation in general, in terms of facilities, infrastructure and management, let alone facilities to ensure that teenage girls are able to hygienically and safely manage their menstruations during menstruation.</w:t>
      </w:r>
      <w:r w:rsidRPr="0032647D">
        <w:rPr>
          <w:rStyle w:val="FootnoteReference"/>
          <w:rFonts w:ascii="Arial" w:hAnsi="Arial" w:cs="Arial"/>
          <w:color w:val="auto"/>
          <w:sz w:val="20"/>
          <w:szCs w:val="20"/>
          <w:lang w:val="en-GB"/>
        </w:rPr>
        <w:footnoteReference w:id="46"/>
      </w:r>
    </w:p>
    <w:p w14:paraId="1A44D18B" w14:textId="77777777" w:rsidR="002315FE" w:rsidRPr="0032647D" w:rsidRDefault="002315FE" w:rsidP="002324FD">
      <w:pPr>
        <w:spacing w:line="264" w:lineRule="auto"/>
        <w:contextualSpacing/>
        <w:jc w:val="both"/>
        <w:rPr>
          <w:sz w:val="20"/>
          <w:szCs w:val="20"/>
          <w:lang w:val="en-GB"/>
        </w:rPr>
      </w:pPr>
    </w:p>
    <w:p w14:paraId="560EE9D9" w14:textId="25703AEB" w:rsidR="003B3855" w:rsidRPr="0032647D" w:rsidRDefault="003B3855" w:rsidP="002324FD">
      <w:pPr>
        <w:spacing w:line="264" w:lineRule="auto"/>
        <w:contextualSpacing/>
        <w:jc w:val="both"/>
        <w:rPr>
          <w:sz w:val="20"/>
          <w:szCs w:val="20"/>
          <w:lang w:val="en-GB"/>
        </w:rPr>
      </w:pPr>
      <w:r w:rsidRPr="0032647D">
        <w:rPr>
          <w:sz w:val="20"/>
          <w:szCs w:val="20"/>
          <w:lang w:val="en-GB"/>
        </w:rPr>
        <w:t xml:space="preserve">The health, social and educational consequences of a lack of water and sanitation are well established. Diarrhoea and respiratory tract infections that are associated with lack of water and sanitation, are </w:t>
      </w:r>
      <w:r w:rsidRPr="0032647D">
        <w:rPr>
          <w:sz w:val="20"/>
          <w:szCs w:val="20"/>
          <w:lang w:val="en-GB"/>
        </w:rPr>
        <w:lastRenderedPageBreak/>
        <w:t>amongst the top five causes of under-five mortality in South Africa.</w:t>
      </w:r>
      <w:r w:rsidRPr="0032647D">
        <w:rPr>
          <w:rFonts w:eastAsia="Times New Roman"/>
          <w:sz w:val="20"/>
          <w:szCs w:val="20"/>
          <w:lang w:val="en-GB" w:eastAsia="en-GB"/>
        </w:rPr>
        <w:t xml:space="preserve"> At the global level, </w:t>
      </w:r>
      <w:r w:rsidRPr="0032647D">
        <w:rPr>
          <w:sz w:val="20"/>
          <w:szCs w:val="20"/>
          <w:lang w:val="en-GB"/>
        </w:rPr>
        <w:t>improved sanitation and hygiene in schools has been linked to improvements in children’s educational performance, reduction in absenteeism, especially for girls, and better attendance and retention rates amongst teachers.</w:t>
      </w:r>
      <w:r w:rsidRPr="0032647D">
        <w:rPr>
          <w:rStyle w:val="FootnoteReference"/>
          <w:sz w:val="20"/>
          <w:szCs w:val="20"/>
          <w:lang w:val="en-GB"/>
        </w:rPr>
        <w:footnoteReference w:id="47"/>
      </w:r>
      <w:r w:rsidRPr="0032647D">
        <w:rPr>
          <w:sz w:val="20"/>
          <w:szCs w:val="20"/>
          <w:lang w:val="en-GB"/>
        </w:rPr>
        <w:t xml:space="preserve"> </w:t>
      </w:r>
    </w:p>
    <w:p w14:paraId="6301B32D" w14:textId="77777777" w:rsidR="003B3855" w:rsidRPr="0032647D" w:rsidRDefault="003B3855" w:rsidP="002324FD">
      <w:pPr>
        <w:spacing w:line="264" w:lineRule="auto"/>
        <w:ind w:left="360"/>
        <w:contextualSpacing/>
        <w:jc w:val="both"/>
        <w:rPr>
          <w:rFonts w:eastAsia="Times New Roman"/>
          <w:sz w:val="20"/>
          <w:szCs w:val="20"/>
          <w:lang w:val="en-GB" w:eastAsia="en-GB"/>
        </w:rPr>
      </w:pPr>
    </w:p>
    <w:p w14:paraId="6E56BADF" w14:textId="77777777" w:rsidR="008F63CB" w:rsidRPr="0032647D" w:rsidRDefault="008F63CB" w:rsidP="002324FD">
      <w:pPr>
        <w:pStyle w:val="ListParagraph"/>
        <w:numPr>
          <w:ilvl w:val="0"/>
          <w:numId w:val="0"/>
        </w:numPr>
        <w:spacing w:before="0" w:after="0"/>
        <w:mirrorIndents/>
        <w:jc w:val="both"/>
      </w:pPr>
      <w:r w:rsidRPr="0032647D">
        <w:t>The Government of South Africa is currently implementing two programmes to improve health and nutrition of children attending schools - the National School Nutrition Programme (NSNP) and the Integrated School Health Programme (ISHP) within the overall framework of the Care and Support for Teaching and Learning Programme (CSTL) – a SADC initiated programme adopted by Education Ministers in 2008 aimed to facilitate schools becoming inclusive centres of learning, care and support and address social and health barriers to learning. UNICEF’s technical and financial support to the Government has been critical in adapting the UNICEF Child Friendly Schools framework and integrating it with the CSTL programme in South Africa.</w:t>
      </w:r>
    </w:p>
    <w:p w14:paraId="104BE2FE" w14:textId="77777777" w:rsidR="008F63CB" w:rsidRPr="0032647D" w:rsidRDefault="008F63CB" w:rsidP="002324FD">
      <w:pPr>
        <w:pStyle w:val="ListParagraph"/>
        <w:numPr>
          <w:ilvl w:val="0"/>
          <w:numId w:val="0"/>
        </w:numPr>
        <w:spacing w:before="0" w:after="0"/>
        <w:mirrorIndents/>
        <w:jc w:val="both"/>
      </w:pPr>
    </w:p>
    <w:p w14:paraId="4A4FE5FE" w14:textId="77777777" w:rsidR="008F63CB" w:rsidRPr="0032647D" w:rsidRDefault="008F63CB" w:rsidP="002324FD">
      <w:pPr>
        <w:pStyle w:val="ListParagraph"/>
        <w:numPr>
          <w:ilvl w:val="0"/>
          <w:numId w:val="0"/>
        </w:numPr>
        <w:spacing w:before="0" w:after="0"/>
        <w:mirrorIndents/>
        <w:jc w:val="both"/>
      </w:pPr>
      <w:r w:rsidRPr="0032647D">
        <w:t>South Africa's schools are divided into five categories or "quintiles", according to their poverty ranking. The poorest schools are included in quintile 1 and the least poor in quintile 5. Within the CSTL, the Department of Education currently feeds over 9 million learners in Quintile 1-3 primary and secondary (no fee) schools a hot, cooked meal on a daily basis. The ISHP is a partnership programme between the Departments of Basic Education (DBE) and Health (</w:t>
      </w:r>
      <w:proofErr w:type="spellStart"/>
      <w:r w:rsidRPr="0032647D">
        <w:t>DoH</w:t>
      </w:r>
      <w:proofErr w:type="spellEnd"/>
      <w:r w:rsidRPr="0032647D">
        <w:t xml:space="preserve">) and Social Development (DSD) that addresses health barriers to teaching and learning. </w:t>
      </w:r>
    </w:p>
    <w:p w14:paraId="76371231" w14:textId="77777777" w:rsidR="008F63CB" w:rsidRPr="0032647D" w:rsidRDefault="008F63CB" w:rsidP="002324FD">
      <w:pPr>
        <w:pStyle w:val="ListParagraph"/>
        <w:numPr>
          <w:ilvl w:val="0"/>
          <w:numId w:val="0"/>
        </w:numPr>
        <w:spacing w:before="0" w:after="0"/>
        <w:mirrorIndents/>
        <w:jc w:val="both"/>
      </w:pPr>
    </w:p>
    <w:p w14:paraId="0E1F2180" w14:textId="04E36675" w:rsidR="0023201B" w:rsidRPr="0032647D" w:rsidRDefault="0023201B" w:rsidP="002324FD">
      <w:pPr>
        <w:pStyle w:val="Heading4"/>
        <w:spacing w:after="0"/>
      </w:pPr>
      <w:r w:rsidRPr="0032647D">
        <w:rPr>
          <w:rStyle w:val="Heading4Char"/>
          <w:i/>
        </w:rPr>
        <w:t>Violence in schools</w:t>
      </w:r>
    </w:p>
    <w:p w14:paraId="73750256" w14:textId="7516F83D" w:rsidR="0023201B" w:rsidRPr="0032647D" w:rsidRDefault="0023201B" w:rsidP="002324FD">
      <w:pPr>
        <w:spacing w:line="264" w:lineRule="auto"/>
        <w:jc w:val="both"/>
        <w:rPr>
          <w:rFonts w:eastAsia="Arial Unicode MS" w:cs="Arial"/>
          <w:sz w:val="20"/>
          <w:szCs w:val="20"/>
          <w:lang w:val="en-GB"/>
        </w:rPr>
      </w:pPr>
      <w:r w:rsidRPr="0032647D">
        <w:rPr>
          <w:rFonts w:eastAsia="Arial Unicode MS" w:cs="Arial"/>
          <w:sz w:val="20"/>
          <w:szCs w:val="20"/>
          <w:lang w:val="en-GB"/>
        </w:rPr>
        <w:t>Violence contributes to poor academic outcomes and often high rates of drop out. Studies have shown that learners experience different types of violence at school.</w:t>
      </w:r>
      <w:r w:rsidR="00560373" w:rsidRPr="0032647D">
        <w:rPr>
          <w:rFonts w:eastAsia="Arial Unicode MS" w:cs="Arial"/>
          <w:sz w:val="20"/>
          <w:szCs w:val="20"/>
          <w:lang w:val="en-GB"/>
        </w:rPr>
        <w:t xml:space="preserve"> </w:t>
      </w:r>
      <w:r w:rsidR="00560373" w:rsidRPr="0032647D">
        <w:rPr>
          <w:rFonts w:cs="Arial"/>
          <w:color w:val="000000"/>
          <w:sz w:val="20"/>
          <w:szCs w:val="20"/>
          <w:lang w:val="en-GB"/>
        </w:rPr>
        <w:t>In 2012, 22 per cent</w:t>
      </w:r>
      <w:r w:rsidRPr="0032647D">
        <w:rPr>
          <w:rFonts w:cs="Arial"/>
          <w:color w:val="000000"/>
          <w:sz w:val="20"/>
          <w:szCs w:val="20"/>
          <w:lang w:val="en-GB"/>
        </w:rPr>
        <w:t xml:space="preserve"> of high school learners were found to have been threatened with violence or had been the victim of an assault, robbery and/or sexual assault at school in the past year</w:t>
      </w:r>
      <w:r w:rsidR="00560373" w:rsidRPr="0032647D">
        <w:rPr>
          <w:rFonts w:cs="Arial"/>
          <w:color w:val="000000"/>
          <w:sz w:val="20"/>
          <w:szCs w:val="20"/>
          <w:lang w:val="en-GB"/>
        </w:rPr>
        <w:t>.</w:t>
      </w:r>
      <w:r w:rsidRPr="0032647D">
        <w:rPr>
          <w:rStyle w:val="FootnoteReference"/>
          <w:rFonts w:cs="Arial"/>
          <w:color w:val="000000"/>
          <w:sz w:val="20"/>
          <w:szCs w:val="20"/>
          <w:lang w:val="en-GB"/>
        </w:rPr>
        <w:footnoteReference w:id="48"/>
      </w:r>
      <w:r w:rsidRPr="0032647D">
        <w:rPr>
          <w:rFonts w:cs="Arial"/>
          <w:color w:val="FF0000"/>
          <w:sz w:val="20"/>
          <w:szCs w:val="20"/>
          <w:lang w:val="en-GB"/>
        </w:rPr>
        <w:t xml:space="preserve"> </w:t>
      </w:r>
    </w:p>
    <w:p w14:paraId="6AE78CE2" w14:textId="77777777" w:rsidR="0023201B" w:rsidRPr="0032647D" w:rsidRDefault="0023201B" w:rsidP="002324FD">
      <w:pPr>
        <w:spacing w:line="264" w:lineRule="auto"/>
        <w:jc w:val="both"/>
        <w:rPr>
          <w:rFonts w:cs="Arial"/>
          <w:sz w:val="20"/>
          <w:szCs w:val="20"/>
          <w:lang w:val="en-GB"/>
        </w:rPr>
      </w:pPr>
    </w:p>
    <w:p w14:paraId="7ABDE9AC" w14:textId="605E67E9" w:rsidR="0023201B" w:rsidRPr="0032647D" w:rsidRDefault="0023201B" w:rsidP="002324FD">
      <w:pPr>
        <w:autoSpaceDE w:val="0"/>
        <w:autoSpaceDN w:val="0"/>
        <w:adjustRightInd w:val="0"/>
        <w:spacing w:line="264" w:lineRule="auto"/>
        <w:jc w:val="both"/>
        <w:rPr>
          <w:rFonts w:cs="Arial"/>
          <w:sz w:val="20"/>
          <w:szCs w:val="20"/>
          <w:lang w:val="en-GB"/>
        </w:rPr>
      </w:pPr>
      <w:r w:rsidRPr="0032647D">
        <w:rPr>
          <w:rFonts w:cs="Arial"/>
          <w:color w:val="000000"/>
          <w:sz w:val="20"/>
          <w:szCs w:val="20"/>
          <w:lang w:val="en-GB"/>
        </w:rPr>
        <w:t xml:space="preserve">Alcohol, drugs and weapons are easily accessible for many learners: one in seven learners reported easy access to alcohol, one in ten reported easy access to drugs, nearly a tenth asserted that it would be easy for them to obtain a firearm at school, and one in five learners claimed having easy access to knives or other weapons at their school. The ease of access to weapons and substances was facilitated by personal knowledge of individuals who were involved in various drug-related activities at school: nearly a quarter of the sample knew people who had brought weapons to school with them, one in six </w:t>
      </w:r>
      <w:r w:rsidR="00BF414E">
        <w:rPr>
          <w:rFonts w:cs="Arial"/>
          <w:color w:val="000000"/>
          <w:sz w:val="20"/>
          <w:szCs w:val="20"/>
          <w:lang w:val="en-GB"/>
        </w:rPr>
        <w:t>k</w:t>
      </w:r>
      <w:r w:rsidRPr="0032647D">
        <w:rPr>
          <w:rFonts w:cs="Arial"/>
          <w:color w:val="000000"/>
          <w:sz w:val="20"/>
          <w:szCs w:val="20"/>
          <w:lang w:val="en-GB"/>
        </w:rPr>
        <w:t>new people at school who were involved in criminal activities, and nearly a tenth knew people at their school who sold or dealt in drugs</w:t>
      </w:r>
      <w:r w:rsidRPr="0032647D">
        <w:rPr>
          <w:rStyle w:val="FootnoteReference"/>
          <w:rFonts w:cs="Arial"/>
          <w:color w:val="000000"/>
          <w:sz w:val="20"/>
          <w:szCs w:val="20"/>
          <w:lang w:val="en-GB"/>
        </w:rPr>
        <w:footnoteReference w:id="49"/>
      </w:r>
      <w:r w:rsidRPr="0032647D">
        <w:rPr>
          <w:rFonts w:cs="Arial"/>
          <w:color w:val="000000"/>
          <w:sz w:val="20"/>
          <w:szCs w:val="20"/>
          <w:lang w:val="en-GB"/>
        </w:rPr>
        <w:t xml:space="preserve">. </w:t>
      </w:r>
      <w:r w:rsidRPr="0032647D">
        <w:rPr>
          <w:rFonts w:cs="Arial"/>
          <w:sz w:val="20"/>
          <w:szCs w:val="20"/>
          <w:lang w:val="en-GB"/>
        </w:rPr>
        <w:t>Given the proximity of young people to potential offenders, one can expect their risk of violence to be enhanced. These statistics highlight the importance of safe communities and safe home environments as prerequisites for safe schools.</w:t>
      </w:r>
    </w:p>
    <w:p w14:paraId="62BA5B80" w14:textId="77777777" w:rsidR="0023201B" w:rsidRPr="0032647D" w:rsidRDefault="0023201B" w:rsidP="002324FD">
      <w:pPr>
        <w:spacing w:line="264" w:lineRule="auto"/>
        <w:jc w:val="both"/>
        <w:rPr>
          <w:rFonts w:cs="Arial"/>
          <w:sz w:val="20"/>
          <w:szCs w:val="20"/>
          <w:lang w:val="en-GB"/>
        </w:rPr>
      </w:pPr>
    </w:p>
    <w:p w14:paraId="125C68D5" w14:textId="565C4402" w:rsidR="0023201B" w:rsidRPr="0032647D" w:rsidRDefault="0023201B" w:rsidP="002324FD">
      <w:pPr>
        <w:autoSpaceDE w:val="0"/>
        <w:autoSpaceDN w:val="0"/>
        <w:adjustRightInd w:val="0"/>
        <w:spacing w:line="264" w:lineRule="auto"/>
        <w:jc w:val="both"/>
        <w:rPr>
          <w:rFonts w:cs="Arial"/>
          <w:sz w:val="20"/>
          <w:szCs w:val="20"/>
          <w:lang w:val="en-GB"/>
        </w:rPr>
      </w:pPr>
      <w:r w:rsidRPr="0032647D">
        <w:rPr>
          <w:rFonts w:cs="Arial"/>
          <w:color w:val="000000"/>
          <w:sz w:val="20"/>
          <w:szCs w:val="20"/>
          <w:lang w:val="en-GB"/>
        </w:rPr>
        <w:t xml:space="preserve">Although cyber violence is not confined to any particular physical environment, such as schools, the </w:t>
      </w:r>
      <w:r w:rsidR="00B22263" w:rsidRPr="0032647D">
        <w:rPr>
          <w:rFonts w:cs="Arial"/>
          <w:color w:val="000000"/>
          <w:sz w:val="20"/>
          <w:szCs w:val="20"/>
          <w:lang w:val="en-GB"/>
        </w:rPr>
        <w:t>2012 National School Violence Survey</w:t>
      </w:r>
      <w:r w:rsidRPr="0032647D">
        <w:rPr>
          <w:rFonts w:cs="Arial"/>
          <w:color w:val="000000"/>
          <w:sz w:val="20"/>
          <w:szCs w:val="20"/>
          <w:lang w:val="en-GB"/>
        </w:rPr>
        <w:t xml:space="preserve"> highlighted the relationship between online violence and offline, or more traditional, forms of violence (that is, physical violence). This suggests that cyber violence is just one part of a broader spectrum of violence affecting learners in South Af</w:t>
      </w:r>
      <w:r w:rsidR="00B22263" w:rsidRPr="0032647D">
        <w:rPr>
          <w:rFonts w:cs="Arial"/>
          <w:color w:val="000000"/>
          <w:sz w:val="20"/>
          <w:szCs w:val="20"/>
          <w:lang w:val="en-GB"/>
        </w:rPr>
        <w:t>rica. One in five leaners</w:t>
      </w:r>
      <w:r w:rsidRPr="0032647D">
        <w:rPr>
          <w:rFonts w:cs="Arial"/>
          <w:color w:val="000000"/>
          <w:sz w:val="20"/>
          <w:szCs w:val="20"/>
          <w:lang w:val="en-GB"/>
        </w:rPr>
        <w:t xml:space="preserve"> had experienced some form of cyber bullying or violence in the past year. While concerning, these figures show that cyber violence is not the epidemic that many believe it to be – it is still less prevalent than other forms of school violence.</w:t>
      </w:r>
      <w:r w:rsidRPr="0032647D">
        <w:rPr>
          <w:rStyle w:val="FootnoteReference"/>
          <w:rFonts w:cs="Arial"/>
          <w:color w:val="000000"/>
          <w:sz w:val="20"/>
          <w:szCs w:val="20"/>
          <w:lang w:val="en-GB"/>
        </w:rPr>
        <w:footnoteReference w:id="50"/>
      </w:r>
      <w:r w:rsidR="00A67517">
        <w:rPr>
          <w:rFonts w:cs="Arial"/>
          <w:color w:val="000000"/>
          <w:sz w:val="20"/>
          <w:szCs w:val="20"/>
          <w:lang w:val="en-GB"/>
        </w:rPr>
        <w:t xml:space="preserve">  T</w:t>
      </w:r>
      <w:r w:rsidRPr="0032647D">
        <w:rPr>
          <w:rFonts w:cs="Arial"/>
          <w:sz w:val="20"/>
          <w:szCs w:val="20"/>
          <w:lang w:val="en-GB"/>
        </w:rPr>
        <w:t xml:space="preserve">he percentage of learners who experienced corporal punishment at school in 2015 has decreased nationally since 2011 and 11.3 per cent of </w:t>
      </w:r>
      <w:proofErr w:type="gramStart"/>
      <w:r w:rsidRPr="0032647D">
        <w:rPr>
          <w:rFonts w:cs="Arial"/>
          <w:sz w:val="20"/>
          <w:szCs w:val="20"/>
          <w:lang w:val="en-GB"/>
        </w:rPr>
        <w:t>learners</w:t>
      </w:r>
      <w:proofErr w:type="gramEnd"/>
      <w:r w:rsidRPr="0032647D">
        <w:rPr>
          <w:rFonts w:cs="Arial"/>
          <w:sz w:val="20"/>
          <w:szCs w:val="20"/>
          <w:lang w:val="en-GB"/>
        </w:rPr>
        <w:t xml:space="preserve"> reportedly experienced corporal punishment at school in 2015.</w:t>
      </w:r>
      <w:r w:rsidRPr="0032647D">
        <w:rPr>
          <w:rStyle w:val="FootnoteReference"/>
          <w:rFonts w:cs="Arial"/>
          <w:sz w:val="20"/>
          <w:szCs w:val="20"/>
          <w:lang w:val="en-GB"/>
        </w:rPr>
        <w:footnoteReference w:id="51"/>
      </w:r>
      <w:r w:rsidRPr="0032647D">
        <w:rPr>
          <w:rFonts w:cs="Arial"/>
          <w:sz w:val="20"/>
          <w:szCs w:val="20"/>
          <w:lang w:val="en-GB"/>
        </w:rPr>
        <w:t xml:space="preserve"> Corporal punishment was more prevalent at schools in </w:t>
      </w:r>
      <w:proofErr w:type="spellStart"/>
      <w:r w:rsidRPr="0032647D">
        <w:rPr>
          <w:rFonts w:cs="Arial"/>
          <w:sz w:val="20"/>
          <w:szCs w:val="20"/>
          <w:lang w:val="en-GB"/>
        </w:rPr>
        <w:t>eThekhwini</w:t>
      </w:r>
      <w:proofErr w:type="spellEnd"/>
      <w:r w:rsidRPr="0032647D">
        <w:rPr>
          <w:rFonts w:cs="Arial"/>
          <w:sz w:val="20"/>
          <w:szCs w:val="20"/>
          <w:lang w:val="en-GB"/>
        </w:rPr>
        <w:t xml:space="preserve"> (13.2 per cent) and </w:t>
      </w:r>
      <w:proofErr w:type="spellStart"/>
      <w:r w:rsidRPr="0032647D">
        <w:rPr>
          <w:rFonts w:cs="Arial"/>
          <w:sz w:val="20"/>
          <w:szCs w:val="20"/>
          <w:lang w:val="en-GB"/>
        </w:rPr>
        <w:t>Mangaung</w:t>
      </w:r>
      <w:proofErr w:type="spellEnd"/>
      <w:r w:rsidRPr="0032647D">
        <w:rPr>
          <w:rFonts w:cs="Arial"/>
          <w:sz w:val="20"/>
          <w:szCs w:val="20"/>
          <w:lang w:val="en-GB"/>
        </w:rPr>
        <w:t xml:space="preserve"> (11.8 per cent) whilst this sort of punishment was less likely to be found in Ekurhuleni </w:t>
      </w:r>
      <w:bookmarkStart w:id="4" w:name="_GoBack"/>
      <w:bookmarkEnd w:id="4"/>
      <w:r w:rsidRPr="0032647D">
        <w:rPr>
          <w:rFonts w:cs="Arial"/>
          <w:sz w:val="20"/>
          <w:szCs w:val="20"/>
          <w:lang w:val="en-GB"/>
        </w:rPr>
        <w:t>(1.1 per cent) and the City of Cape Town (1.3 per cent).</w:t>
      </w:r>
    </w:p>
    <w:p w14:paraId="2EBCA45F" w14:textId="77777777" w:rsidR="00C21C31" w:rsidRPr="0032647D" w:rsidRDefault="00C21C31" w:rsidP="002324FD">
      <w:pPr>
        <w:autoSpaceDE w:val="0"/>
        <w:autoSpaceDN w:val="0"/>
        <w:adjustRightInd w:val="0"/>
        <w:spacing w:line="264" w:lineRule="auto"/>
        <w:jc w:val="both"/>
        <w:rPr>
          <w:rFonts w:cs="Arial"/>
          <w:sz w:val="20"/>
          <w:szCs w:val="20"/>
          <w:lang w:val="en-GB"/>
        </w:rPr>
      </w:pPr>
    </w:p>
    <w:p w14:paraId="139E071E" w14:textId="4AFA4B2D" w:rsidR="004C2983" w:rsidRPr="004238CA" w:rsidRDefault="004C2983" w:rsidP="008C5CF6">
      <w:pPr>
        <w:spacing w:line="264" w:lineRule="auto"/>
        <w:jc w:val="both"/>
        <w:rPr>
          <w:rFonts w:cs="Arial"/>
          <w:bCs/>
          <w:iCs/>
          <w:sz w:val="20"/>
          <w:szCs w:val="20"/>
          <w:lang w:val="en-GB"/>
        </w:rPr>
      </w:pPr>
    </w:p>
    <w:sectPr w:rsidR="004C2983" w:rsidRPr="004238CA" w:rsidSect="00BF414E">
      <w:footerReference w:type="default" r:id="rId13"/>
      <w:endnotePr>
        <w:numFmt w:val="decimal"/>
      </w:endnotePr>
      <w:pgSz w:w="11906" w:h="16838" w:code="9"/>
      <w:pgMar w:top="1080" w:right="1296" w:bottom="117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2A4FB" w14:textId="77777777" w:rsidR="005A47A3" w:rsidRDefault="005A47A3" w:rsidP="00C02A86">
      <w:r>
        <w:separator/>
      </w:r>
    </w:p>
  </w:endnote>
  <w:endnote w:type="continuationSeparator" w:id="0">
    <w:p w14:paraId="6344C4A9" w14:textId="77777777" w:rsidR="005A47A3" w:rsidRDefault="005A47A3" w:rsidP="00C0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Droid Sans">
    <w:altName w:val="MS Mincho"/>
    <w:charset w:val="80"/>
    <w:family w:val="auto"/>
    <w:pitch w:val="variable"/>
  </w:font>
  <w:font w:name="Lohit Hindi">
    <w:altName w:val="MS Mincho"/>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202570"/>
      <w:docPartObj>
        <w:docPartGallery w:val="Page Numbers (Bottom of Page)"/>
        <w:docPartUnique/>
      </w:docPartObj>
    </w:sdtPr>
    <w:sdtEndPr>
      <w:rPr>
        <w:noProof/>
      </w:rPr>
    </w:sdtEndPr>
    <w:sdtContent>
      <w:p w14:paraId="25002527" w14:textId="7913E805" w:rsidR="00C5029A" w:rsidRDefault="00C5029A">
        <w:pPr>
          <w:pStyle w:val="Footer"/>
          <w:jc w:val="right"/>
        </w:pPr>
        <w:r>
          <w:fldChar w:fldCharType="begin"/>
        </w:r>
        <w:r>
          <w:instrText xml:space="preserve"> PAGE   \* MERGEFORMAT </w:instrText>
        </w:r>
        <w:r>
          <w:fldChar w:fldCharType="separate"/>
        </w:r>
        <w:r w:rsidR="006646F2">
          <w:rPr>
            <w:noProof/>
          </w:rPr>
          <w:t>10</w:t>
        </w:r>
        <w:r>
          <w:rPr>
            <w:noProof/>
          </w:rPr>
          <w:fldChar w:fldCharType="end"/>
        </w:r>
      </w:p>
    </w:sdtContent>
  </w:sdt>
  <w:p w14:paraId="0D0EC4BF" w14:textId="77777777" w:rsidR="00C5029A" w:rsidRDefault="00C50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9D927" w14:textId="77777777" w:rsidR="005A47A3" w:rsidRDefault="005A47A3" w:rsidP="00C02A86">
      <w:r>
        <w:separator/>
      </w:r>
    </w:p>
  </w:footnote>
  <w:footnote w:type="continuationSeparator" w:id="0">
    <w:p w14:paraId="024E148B" w14:textId="77777777" w:rsidR="005A47A3" w:rsidRDefault="005A47A3" w:rsidP="00C02A86">
      <w:r>
        <w:continuationSeparator/>
      </w:r>
    </w:p>
  </w:footnote>
  <w:footnote w:id="1">
    <w:p w14:paraId="0299BC6D" w14:textId="77777777" w:rsidR="00C5029A" w:rsidRPr="00DB6D41" w:rsidRDefault="00C5029A" w:rsidP="00D22261">
      <w:pPr>
        <w:pStyle w:val="NoSpacing"/>
        <w:jc w:val="both"/>
        <w:rPr>
          <w:rFonts w:ascii="Arial" w:hAnsi="Arial" w:cs="Arial"/>
          <w:sz w:val="16"/>
          <w:szCs w:val="16"/>
          <w:lang w:val="en-US"/>
        </w:rPr>
      </w:pPr>
      <w:r w:rsidRPr="00DB6D41">
        <w:rPr>
          <w:rStyle w:val="FootnoteReference"/>
          <w:rFonts w:ascii="Arial" w:hAnsi="Arial" w:cs="Arial"/>
          <w:sz w:val="16"/>
          <w:szCs w:val="16"/>
        </w:rPr>
        <w:footnoteRef/>
      </w:r>
      <w:r w:rsidRPr="00DB6D41">
        <w:rPr>
          <w:rFonts w:ascii="Arial" w:hAnsi="Arial" w:cs="Arial"/>
          <w:sz w:val="16"/>
          <w:szCs w:val="16"/>
        </w:rPr>
        <w:t xml:space="preserve"> Statistics South Africa (2015) </w:t>
      </w:r>
      <w:r w:rsidRPr="00DB6D41">
        <w:rPr>
          <w:rFonts w:ascii="Arial" w:hAnsi="Arial" w:cs="Arial"/>
          <w:i/>
          <w:sz w:val="16"/>
          <w:szCs w:val="16"/>
        </w:rPr>
        <w:t>Mid-year Population Estimates 2015.</w:t>
      </w:r>
    </w:p>
  </w:footnote>
  <w:footnote w:id="2">
    <w:p w14:paraId="5EDE5226" w14:textId="77777777" w:rsidR="00C5029A" w:rsidRPr="00DB6D41" w:rsidRDefault="00C5029A" w:rsidP="00D22261">
      <w:pPr>
        <w:pStyle w:val="FootnoteText"/>
        <w:rPr>
          <w:rFonts w:ascii="Arial" w:hAnsi="Arial" w:cs="Arial"/>
          <w:sz w:val="16"/>
          <w:szCs w:val="16"/>
          <w:lang w:val="en-US"/>
        </w:rPr>
      </w:pPr>
      <w:r w:rsidRPr="00DB6D41">
        <w:rPr>
          <w:rStyle w:val="FootnoteReference"/>
          <w:rFonts w:ascii="Arial" w:hAnsi="Arial" w:cs="Arial"/>
          <w:sz w:val="16"/>
          <w:szCs w:val="16"/>
        </w:rPr>
        <w:footnoteRef/>
      </w:r>
      <w:r w:rsidRPr="00DB6D41">
        <w:rPr>
          <w:rFonts w:ascii="Arial" w:hAnsi="Arial" w:cs="Arial"/>
          <w:sz w:val="16"/>
          <w:szCs w:val="16"/>
        </w:rPr>
        <w:t xml:space="preserve"> Calculations based on data from Statistics South Africa (2014) </w:t>
      </w:r>
      <w:r w:rsidRPr="00DB6D41">
        <w:rPr>
          <w:rFonts w:ascii="Arial" w:hAnsi="Arial" w:cs="Arial"/>
          <w:i/>
          <w:sz w:val="16"/>
          <w:szCs w:val="16"/>
        </w:rPr>
        <w:t>General Household Survey 2014.</w:t>
      </w:r>
    </w:p>
  </w:footnote>
  <w:footnote w:id="3">
    <w:p w14:paraId="591A4205" w14:textId="77777777" w:rsidR="00C5029A" w:rsidRPr="00DB6D41" w:rsidRDefault="00C5029A" w:rsidP="000A61C6">
      <w:pPr>
        <w:pStyle w:val="NoSpacing"/>
        <w:jc w:val="both"/>
        <w:rPr>
          <w:rFonts w:ascii="Arial" w:hAnsi="Arial" w:cs="Arial"/>
          <w:sz w:val="16"/>
          <w:szCs w:val="16"/>
        </w:rPr>
      </w:pPr>
      <w:r w:rsidRPr="00DB6D41">
        <w:rPr>
          <w:rStyle w:val="FootnoteReference"/>
          <w:rFonts w:ascii="Arial" w:hAnsi="Arial" w:cs="Arial"/>
          <w:sz w:val="16"/>
          <w:szCs w:val="16"/>
        </w:rPr>
        <w:footnoteRef/>
      </w:r>
      <w:r w:rsidRPr="00DB6D41">
        <w:rPr>
          <w:rFonts w:ascii="Arial" w:hAnsi="Arial" w:cs="Arial"/>
          <w:sz w:val="16"/>
          <w:szCs w:val="16"/>
        </w:rPr>
        <w:t xml:space="preserve"> Children’s Institute, University of Cape Town (2015) </w:t>
      </w:r>
      <w:r w:rsidRPr="00DB6D41">
        <w:rPr>
          <w:rFonts w:ascii="Arial" w:hAnsi="Arial" w:cs="Arial"/>
          <w:i/>
          <w:sz w:val="16"/>
          <w:szCs w:val="16"/>
        </w:rPr>
        <w:t>South African Child Gauge 2015</w:t>
      </w:r>
      <w:r w:rsidRPr="00DB6D41">
        <w:rPr>
          <w:rFonts w:ascii="Arial" w:hAnsi="Arial" w:cs="Arial"/>
          <w:sz w:val="16"/>
          <w:szCs w:val="16"/>
        </w:rPr>
        <w:t>.</w:t>
      </w:r>
    </w:p>
  </w:footnote>
  <w:footnote w:id="4">
    <w:p w14:paraId="7CD23301" w14:textId="77777777" w:rsidR="00C5029A" w:rsidRPr="00DB6D41" w:rsidRDefault="00C5029A" w:rsidP="00E53A81">
      <w:pPr>
        <w:pStyle w:val="FootnoteText"/>
        <w:ind w:left="180" w:hanging="180"/>
        <w:rPr>
          <w:rFonts w:ascii="Arial" w:hAnsi="Arial" w:cs="Arial"/>
          <w:sz w:val="16"/>
          <w:szCs w:val="16"/>
        </w:rPr>
      </w:pPr>
      <w:r w:rsidRPr="00DB6D41">
        <w:rPr>
          <w:rStyle w:val="FootnoteReference"/>
          <w:rFonts w:ascii="Arial" w:hAnsi="Arial" w:cs="Arial"/>
          <w:sz w:val="16"/>
          <w:szCs w:val="16"/>
        </w:rPr>
        <w:footnoteRef/>
      </w:r>
      <w:r w:rsidRPr="00DB6D41">
        <w:rPr>
          <w:rFonts w:ascii="Arial" w:hAnsi="Arial" w:cs="Arial"/>
          <w:sz w:val="16"/>
          <w:szCs w:val="16"/>
        </w:rPr>
        <w:t xml:space="preserve"> The Government of South Africa did two national audits on early childhood development provisioning through centres/partial care facilities, with the first one in 2001 under the lead of the Department of Education and the second audit in 2013/14 under the lead of the Department of Social Development. Although these two audits are only partially comparable, interesting observations can be made when similar variables are compared.</w:t>
      </w:r>
    </w:p>
  </w:footnote>
  <w:footnote w:id="5">
    <w:p w14:paraId="474A1D17" w14:textId="0A4DB336" w:rsidR="00C5029A" w:rsidRPr="002562C2" w:rsidRDefault="00C5029A">
      <w:pPr>
        <w:pStyle w:val="FootnoteText"/>
        <w:rPr>
          <w:rFonts w:ascii="Arial" w:hAnsi="Arial" w:cs="Arial"/>
          <w:sz w:val="18"/>
          <w:szCs w:val="18"/>
          <w:lang w:val="en-US"/>
        </w:rPr>
      </w:pPr>
      <w:r w:rsidRPr="00DB6D41">
        <w:rPr>
          <w:rStyle w:val="FootnoteReference"/>
          <w:rFonts w:ascii="Arial" w:hAnsi="Arial" w:cs="Arial"/>
          <w:sz w:val="16"/>
          <w:szCs w:val="16"/>
        </w:rPr>
        <w:footnoteRef/>
      </w:r>
      <w:r w:rsidRPr="00DB6D41">
        <w:rPr>
          <w:rFonts w:ascii="Arial" w:hAnsi="Arial" w:cs="Arial"/>
          <w:sz w:val="16"/>
          <w:szCs w:val="16"/>
        </w:rPr>
        <w:t xml:space="preserve"> </w:t>
      </w:r>
      <w:hyperlink r:id="rId1" w:history="1">
        <w:r w:rsidRPr="001E1688">
          <w:rPr>
            <w:rStyle w:val="Hyperlink"/>
            <w:rFonts w:ascii="Arial" w:hAnsi="Arial" w:cs="Arial"/>
            <w:color w:val="auto"/>
            <w:sz w:val="16"/>
            <w:szCs w:val="16"/>
          </w:rPr>
          <w:t>http://mg.co.za/article/2015-10-22-the-urgent-need-for-proper-early-childhood-development-infrastructure</w:t>
        </w:r>
      </w:hyperlink>
      <w:r w:rsidR="001E1688">
        <w:rPr>
          <w:rStyle w:val="Hyperlink"/>
          <w:rFonts w:ascii="Arial" w:hAnsi="Arial" w:cs="Arial"/>
          <w:color w:val="auto"/>
          <w:sz w:val="16"/>
          <w:szCs w:val="16"/>
        </w:rPr>
        <w:t xml:space="preserve"> </w:t>
      </w:r>
    </w:p>
  </w:footnote>
  <w:footnote w:id="6">
    <w:p w14:paraId="72E66721" w14:textId="77777777" w:rsidR="00C5029A" w:rsidRPr="00A67517" w:rsidRDefault="00C5029A" w:rsidP="0086745B">
      <w:pPr>
        <w:pStyle w:val="FootnoteText"/>
        <w:ind w:left="180" w:hanging="180"/>
        <w:rPr>
          <w:rFonts w:ascii="Arial" w:hAnsi="Arial" w:cs="Arial"/>
          <w:sz w:val="18"/>
          <w:szCs w:val="18"/>
          <w:lang w:val="fr-FR"/>
        </w:rPr>
      </w:pPr>
      <w:r w:rsidRPr="002562C2">
        <w:rPr>
          <w:rStyle w:val="FootnoteReference"/>
          <w:rFonts w:ascii="Arial" w:hAnsi="Arial" w:cs="Arial"/>
          <w:sz w:val="18"/>
          <w:szCs w:val="18"/>
        </w:rPr>
        <w:footnoteRef/>
      </w:r>
      <w:r w:rsidRPr="002562C2">
        <w:rPr>
          <w:rFonts w:ascii="Arial" w:hAnsi="Arial" w:cs="Arial"/>
          <w:sz w:val="18"/>
          <w:szCs w:val="18"/>
        </w:rPr>
        <w:t xml:space="preserve"> Statistics South Africa. 2016. </w:t>
      </w:r>
      <w:r w:rsidRPr="002562C2">
        <w:rPr>
          <w:rFonts w:ascii="Arial" w:hAnsi="Arial" w:cs="Arial"/>
          <w:i/>
          <w:sz w:val="18"/>
          <w:szCs w:val="18"/>
        </w:rPr>
        <w:t>General Household Survey 2015</w:t>
      </w:r>
      <w:r w:rsidRPr="002562C2">
        <w:rPr>
          <w:rFonts w:ascii="Arial" w:hAnsi="Arial" w:cs="Arial"/>
          <w:sz w:val="18"/>
          <w:szCs w:val="18"/>
        </w:rPr>
        <w:t>. Pretoria: Stats SA. (p. 17); Statistics South Africa.</w:t>
      </w:r>
      <w:r w:rsidRPr="003B5632">
        <w:rPr>
          <w:rFonts w:ascii="Arial" w:hAnsi="Arial" w:cs="Arial"/>
          <w:sz w:val="18"/>
          <w:szCs w:val="18"/>
        </w:rPr>
        <w:t xml:space="preserve"> 2015. </w:t>
      </w:r>
      <w:r w:rsidRPr="003B5632">
        <w:rPr>
          <w:rFonts w:ascii="Arial" w:hAnsi="Arial" w:cs="Arial"/>
          <w:i/>
          <w:sz w:val="18"/>
          <w:szCs w:val="18"/>
        </w:rPr>
        <w:t>General Household Survey 2014</w:t>
      </w:r>
      <w:r w:rsidRPr="003B5632">
        <w:rPr>
          <w:rFonts w:ascii="Arial" w:hAnsi="Arial" w:cs="Arial"/>
          <w:sz w:val="18"/>
          <w:szCs w:val="18"/>
        </w:rPr>
        <w:t xml:space="preserve">. Pretoria: Stats SA. (p. 17); Statistics South Africa. 2014. </w:t>
      </w:r>
      <w:r w:rsidRPr="003B5632">
        <w:rPr>
          <w:rFonts w:ascii="Arial" w:hAnsi="Arial" w:cs="Arial"/>
          <w:i/>
          <w:sz w:val="18"/>
          <w:szCs w:val="18"/>
        </w:rPr>
        <w:t>General</w:t>
      </w:r>
      <w:r w:rsidRPr="00E53A81">
        <w:rPr>
          <w:rFonts w:ascii="Arial" w:hAnsi="Arial" w:cs="Arial"/>
          <w:i/>
          <w:sz w:val="18"/>
          <w:szCs w:val="18"/>
        </w:rPr>
        <w:t xml:space="preserve"> Household Survey 2013</w:t>
      </w:r>
      <w:r w:rsidRPr="00E53A81">
        <w:rPr>
          <w:rFonts w:ascii="Arial" w:hAnsi="Arial" w:cs="Arial"/>
          <w:sz w:val="18"/>
          <w:szCs w:val="18"/>
        </w:rPr>
        <w:t xml:space="preserve">. Pretoria: Stats SA. (p. 16); Statistics South Africa. 2013. </w:t>
      </w:r>
      <w:r w:rsidRPr="00E53A81">
        <w:rPr>
          <w:rFonts w:ascii="Arial" w:hAnsi="Arial" w:cs="Arial"/>
          <w:i/>
          <w:sz w:val="18"/>
          <w:szCs w:val="18"/>
        </w:rPr>
        <w:t>General Household Survey 2012</w:t>
      </w:r>
      <w:r w:rsidRPr="00E53A81">
        <w:rPr>
          <w:rFonts w:ascii="Arial" w:hAnsi="Arial" w:cs="Arial"/>
          <w:sz w:val="18"/>
          <w:szCs w:val="18"/>
        </w:rPr>
        <w:t xml:space="preserve">. Pretoria: Stats SA. (p. 7); Statistics South Africa. 2012. </w:t>
      </w:r>
      <w:r w:rsidRPr="00E53A81">
        <w:rPr>
          <w:rFonts w:ascii="Arial" w:hAnsi="Arial" w:cs="Arial"/>
          <w:i/>
          <w:sz w:val="18"/>
          <w:szCs w:val="18"/>
        </w:rPr>
        <w:t>General Household Survey 2011</w:t>
      </w:r>
      <w:r w:rsidRPr="00E53A81">
        <w:rPr>
          <w:rFonts w:ascii="Arial" w:hAnsi="Arial" w:cs="Arial"/>
          <w:sz w:val="18"/>
          <w:szCs w:val="18"/>
        </w:rPr>
        <w:t>. Pretoria: Stats SA. (p. 7</w:t>
      </w:r>
      <w:proofErr w:type="gramStart"/>
      <w:r w:rsidRPr="00E53A81">
        <w:rPr>
          <w:rFonts w:ascii="Arial" w:hAnsi="Arial" w:cs="Arial"/>
          <w:sz w:val="18"/>
          <w:szCs w:val="18"/>
        </w:rPr>
        <w:t>) ;</w:t>
      </w:r>
      <w:proofErr w:type="gramEnd"/>
      <w:r w:rsidRPr="00E53A81">
        <w:rPr>
          <w:rFonts w:ascii="Arial" w:hAnsi="Arial" w:cs="Arial"/>
          <w:sz w:val="18"/>
          <w:szCs w:val="18"/>
        </w:rPr>
        <w:t xml:space="preserve"> Statistics South Africa. 2011. </w:t>
      </w:r>
      <w:r w:rsidRPr="00E53A81">
        <w:rPr>
          <w:rFonts w:ascii="Arial" w:hAnsi="Arial" w:cs="Arial"/>
          <w:i/>
          <w:sz w:val="18"/>
          <w:szCs w:val="18"/>
        </w:rPr>
        <w:t>General Household Survey 2010</w:t>
      </w:r>
      <w:r w:rsidRPr="00E53A81">
        <w:rPr>
          <w:rFonts w:ascii="Arial" w:hAnsi="Arial" w:cs="Arial"/>
          <w:sz w:val="18"/>
          <w:szCs w:val="18"/>
        </w:rPr>
        <w:t xml:space="preserve">. Pretoria: Stats SA. (p. 8); Statistics South Africa. 2010; &amp; </w:t>
      </w:r>
      <w:r w:rsidRPr="00E53A81">
        <w:rPr>
          <w:rFonts w:ascii="Arial" w:hAnsi="Arial" w:cs="Arial"/>
          <w:i/>
          <w:sz w:val="18"/>
          <w:szCs w:val="18"/>
        </w:rPr>
        <w:t>General Household Survey 2009</w:t>
      </w:r>
      <w:r w:rsidRPr="00E53A81">
        <w:rPr>
          <w:rFonts w:ascii="Arial" w:hAnsi="Arial" w:cs="Arial"/>
          <w:sz w:val="18"/>
          <w:szCs w:val="18"/>
        </w:rPr>
        <w:t xml:space="preserve">. </w:t>
      </w:r>
      <w:r w:rsidRPr="00A67517">
        <w:rPr>
          <w:rFonts w:ascii="Arial" w:hAnsi="Arial" w:cs="Arial"/>
          <w:sz w:val="18"/>
          <w:szCs w:val="18"/>
          <w:lang w:val="fr-FR"/>
        </w:rPr>
        <w:t xml:space="preserve">Pretoria: </w:t>
      </w:r>
      <w:proofErr w:type="spellStart"/>
      <w:r w:rsidRPr="00A67517">
        <w:rPr>
          <w:rFonts w:ascii="Arial" w:hAnsi="Arial" w:cs="Arial"/>
          <w:sz w:val="18"/>
          <w:szCs w:val="18"/>
          <w:lang w:val="fr-FR"/>
        </w:rPr>
        <w:t>Stats</w:t>
      </w:r>
      <w:proofErr w:type="spellEnd"/>
      <w:r w:rsidRPr="00A67517">
        <w:rPr>
          <w:rFonts w:ascii="Arial" w:hAnsi="Arial" w:cs="Arial"/>
          <w:sz w:val="18"/>
          <w:szCs w:val="18"/>
          <w:lang w:val="fr-FR"/>
        </w:rPr>
        <w:t xml:space="preserve"> SA. (p. 8).</w:t>
      </w:r>
    </w:p>
  </w:footnote>
  <w:footnote w:id="7">
    <w:p w14:paraId="7BC8BA2E" w14:textId="77777777" w:rsidR="00C5029A" w:rsidRPr="00A67517" w:rsidRDefault="00C5029A" w:rsidP="00D60AED">
      <w:pPr>
        <w:pStyle w:val="FootnoteText"/>
        <w:rPr>
          <w:rFonts w:ascii="Arial" w:hAnsi="Arial" w:cs="Arial"/>
          <w:sz w:val="18"/>
          <w:szCs w:val="18"/>
          <w:lang w:val="fr-FR"/>
        </w:rPr>
      </w:pPr>
      <w:r w:rsidRPr="002562C2">
        <w:rPr>
          <w:rStyle w:val="FootnoteReference"/>
          <w:rFonts w:ascii="Arial" w:hAnsi="Arial" w:cs="Arial"/>
          <w:sz w:val="18"/>
          <w:szCs w:val="18"/>
        </w:rPr>
        <w:footnoteRef/>
      </w:r>
      <w:r w:rsidRPr="00A67517">
        <w:rPr>
          <w:rFonts w:ascii="Arial" w:hAnsi="Arial" w:cs="Arial"/>
          <w:sz w:val="18"/>
          <w:szCs w:val="18"/>
          <w:lang w:val="fr-FR"/>
        </w:rPr>
        <w:t xml:space="preserve"> </w:t>
      </w:r>
      <w:hyperlink r:id="rId2" w:history="1">
        <w:r w:rsidRPr="001E1688">
          <w:rPr>
            <w:rStyle w:val="Hyperlink"/>
            <w:rFonts w:ascii="Arial" w:hAnsi="Arial" w:cs="Arial"/>
            <w:color w:val="auto"/>
            <w:sz w:val="18"/>
            <w:szCs w:val="18"/>
            <w:lang w:val="fr-FR"/>
          </w:rPr>
          <w:t>http://mg.co.za/article/2015-10-22-the-urgent-need-for-proper-early-childhood-development-infrastructure</w:t>
        </w:r>
      </w:hyperlink>
    </w:p>
  </w:footnote>
  <w:footnote w:id="8">
    <w:p w14:paraId="26FBAB65" w14:textId="77777777" w:rsidR="00C5029A" w:rsidRPr="00A67517" w:rsidRDefault="00C5029A" w:rsidP="00FC004D">
      <w:pPr>
        <w:pStyle w:val="FootnoteText"/>
        <w:ind w:left="180" w:hanging="18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Department of Basic Education. 2015. </w:t>
      </w:r>
      <w:r w:rsidRPr="00A67517">
        <w:rPr>
          <w:rFonts w:ascii="Arial" w:hAnsi="Arial" w:cs="Arial"/>
          <w:i/>
          <w:sz w:val="16"/>
          <w:szCs w:val="16"/>
        </w:rPr>
        <w:t>2010-2015 SNAP Survey</w:t>
      </w:r>
      <w:r w:rsidRPr="00A67517">
        <w:rPr>
          <w:rFonts w:ascii="Arial" w:hAnsi="Arial" w:cs="Arial"/>
          <w:sz w:val="16"/>
          <w:szCs w:val="16"/>
        </w:rPr>
        <w:t>. Pretoria: DBE</w:t>
      </w:r>
    </w:p>
  </w:footnote>
  <w:footnote w:id="9">
    <w:p w14:paraId="1FEB0940" w14:textId="7DA768C8" w:rsidR="00C5029A" w:rsidRPr="00A67517" w:rsidRDefault="00C5029A" w:rsidP="00A56000">
      <w:pPr>
        <w:pStyle w:val="FootnoteText"/>
        <w:ind w:left="180" w:hanging="18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Department of Basic Education. 2015. 2011-2014 ECD Annual Survey. Pretoria: DBE. Data on Grade R attendance in the ECD centres for 2015 not available and are not used in the analysis, though presented in terms of Grade R classes in Schools.</w:t>
      </w:r>
    </w:p>
  </w:footnote>
  <w:footnote w:id="10">
    <w:p w14:paraId="23FCC317" w14:textId="77777777" w:rsidR="00C5029A" w:rsidRPr="00A67517" w:rsidRDefault="00C5029A" w:rsidP="00641448">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Department of Basic Education. (2016). Release of the 2015 National Senior Certificate Results. Pretoria: Department of Basic Education</w:t>
      </w:r>
    </w:p>
  </w:footnote>
  <w:footnote w:id="11">
    <w:p w14:paraId="32D501A1" w14:textId="77777777" w:rsidR="00C5029A" w:rsidRPr="00A67517" w:rsidRDefault="00C5029A" w:rsidP="00641448">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The Presidency, National Planning Commission. (2012) National Development Plan 2030. Our future – making it work. Pretoria: The Presidency</w:t>
      </w:r>
    </w:p>
  </w:footnote>
  <w:footnote w:id="12">
    <w:p w14:paraId="30AC40C6" w14:textId="77777777" w:rsidR="00C5029A" w:rsidRPr="00A67517" w:rsidRDefault="00C5029A" w:rsidP="00641448">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Department of Basic Education. (2015). General Household Survey (GHS). Focus on Schooling 2014. Pretoria: Department of Basic Education.</w:t>
      </w:r>
    </w:p>
  </w:footnote>
  <w:footnote w:id="13">
    <w:p w14:paraId="5B3DCA1D" w14:textId="77777777" w:rsidR="00C5029A" w:rsidRPr="00A67517" w:rsidRDefault="00C5029A" w:rsidP="00641448">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Department of Basic Education. Action Plan to 2019. Towards the Realisation of Schooling 2030. Pretoria: Department of Basic Education. </w:t>
      </w:r>
    </w:p>
  </w:footnote>
  <w:footnote w:id="14">
    <w:p w14:paraId="6C7FA0BC" w14:textId="77777777" w:rsidR="00C5029A" w:rsidRPr="00A67517" w:rsidRDefault="00C5029A" w:rsidP="00641448">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The Presidency. National Income Dynamics Study, Wave 2 (2010) in Department of Basic Education Macro Indicator Report 2013.</w:t>
      </w:r>
    </w:p>
  </w:footnote>
  <w:footnote w:id="15">
    <w:p w14:paraId="77464334" w14:textId="77777777" w:rsidR="00C5029A" w:rsidRPr="00A67517" w:rsidRDefault="00C5029A" w:rsidP="00641448">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Department of Basic Education. (2013). Macro Indicator Report. Pretoria: Department of Basic Education.</w:t>
      </w:r>
    </w:p>
  </w:footnote>
  <w:footnote w:id="16">
    <w:p w14:paraId="31499BED" w14:textId="77777777" w:rsidR="00C5029A" w:rsidRPr="00A67517" w:rsidRDefault="00C5029A" w:rsidP="00641448">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Department of Basic Education. (2015). General Household Survey (GHS). Focus on Schooling 2014. Pretoria: Department of Basic Education.</w:t>
      </w:r>
    </w:p>
  </w:footnote>
  <w:footnote w:id="17">
    <w:p w14:paraId="6FEF98DA" w14:textId="77777777" w:rsidR="00C5029A" w:rsidRPr="00641448" w:rsidRDefault="00C5029A" w:rsidP="00641448">
      <w:pPr>
        <w:pStyle w:val="FootnoteText"/>
        <w:ind w:left="270" w:hanging="270"/>
        <w:rPr>
          <w:rFonts w:ascii="Arial" w:hAnsi="Arial" w:cs="Arial"/>
          <w:sz w:val="18"/>
          <w:szCs w:val="18"/>
        </w:rPr>
      </w:pPr>
      <w:r w:rsidRPr="00A67517">
        <w:rPr>
          <w:rStyle w:val="FootnoteReference"/>
          <w:rFonts w:ascii="Arial" w:hAnsi="Arial" w:cs="Arial"/>
          <w:sz w:val="16"/>
          <w:szCs w:val="16"/>
        </w:rPr>
        <w:footnoteRef/>
      </w:r>
      <w:r w:rsidRPr="00A67517">
        <w:rPr>
          <w:rFonts w:ascii="Arial" w:hAnsi="Arial" w:cs="Arial"/>
          <w:sz w:val="16"/>
          <w:szCs w:val="16"/>
        </w:rPr>
        <w:t xml:space="preserve"> Ibid.</w:t>
      </w:r>
    </w:p>
  </w:footnote>
  <w:footnote w:id="18">
    <w:p w14:paraId="55C7E785" w14:textId="77777777" w:rsidR="00C5029A" w:rsidRPr="00A67517" w:rsidRDefault="00C5029A" w:rsidP="00E53A81">
      <w:pPr>
        <w:pStyle w:val="FootnoteText"/>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Ibid.</w:t>
      </w:r>
    </w:p>
  </w:footnote>
  <w:footnote w:id="19">
    <w:p w14:paraId="7109AAC3" w14:textId="77777777" w:rsidR="00C5029A" w:rsidRPr="00A67517" w:rsidRDefault="00C5029A" w:rsidP="00E53A81">
      <w:pPr>
        <w:pStyle w:val="FootnoteText"/>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Ibid.</w:t>
      </w:r>
    </w:p>
  </w:footnote>
  <w:footnote w:id="20">
    <w:p w14:paraId="1AE8E5B1" w14:textId="77777777" w:rsidR="00C5029A" w:rsidRPr="00A67517" w:rsidRDefault="00C5029A" w:rsidP="00E53A81">
      <w:pPr>
        <w:pStyle w:val="FootnoteText"/>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Human Rights Watch. (2015). Complicit in Exclusion. South Africa’s failure to guarantee an inclusive education for children with disabilities. US: Human Rights Watch.</w:t>
      </w:r>
    </w:p>
  </w:footnote>
  <w:footnote w:id="21">
    <w:p w14:paraId="0C89AA0E" w14:textId="77777777" w:rsidR="00C5029A" w:rsidRPr="00E53A81" w:rsidRDefault="00C5029A" w:rsidP="00E53A81">
      <w:pPr>
        <w:pStyle w:val="FootnoteText"/>
        <w:rPr>
          <w:rFonts w:ascii="Arial" w:hAnsi="Arial" w:cs="Arial"/>
          <w:sz w:val="18"/>
          <w:szCs w:val="18"/>
        </w:rPr>
      </w:pPr>
      <w:r w:rsidRPr="00A67517">
        <w:rPr>
          <w:rStyle w:val="FootnoteReference"/>
          <w:rFonts w:ascii="Arial" w:hAnsi="Arial" w:cs="Arial"/>
          <w:sz w:val="16"/>
          <w:szCs w:val="16"/>
        </w:rPr>
        <w:footnoteRef/>
      </w:r>
      <w:r w:rsidRPr="00A67517">
        <w:rPr>
          <w:rFonts w:ascii="Arial" w:hAnsi="Arial" w:cs="Arial"/>
          <w:sz w:val="16"/>
          <w:szCs w:val="16"/>
        </w:rPr>
        <w:t xml:space="preserve"> Department of Basic Education. (2016). 2015 National Senior Certificate Examination Report. Pretoria: Department of Basic Education.</w:t>
      </w:r>
    </w:p>
  </w:footnote>
  <w:footnote w:id="22">
    <w:p w14:paraId="184D9A07" w14:textId="77777777" w:rsidR="00C5029A" w:rsidRPr="00A67517" w:rsidRDefault="00C5029A" w:rsidP="00E53A81">
      <w:pPr>
        <w:pStyle w:val="FootnoteText"/>
        <w:ind w:left="270" w:hanging="270"/>
        <w:rPr>
          <w:rFonts w:ascii="Arial" w:hAnsi="Arial" w:cs="Arial"/>
          <w:sz w:val="16"/>
          <w:szCs w:val="16"/>
        </w:rPr>
      </w:pPr>
      <w:r w:rsidRPr="00E53A81">
        <w:rPr>
          <w:rStyle w:val="FootnoteReference"/>
          <w:rFonts w:ascii="Arial" w:hAnsi="Arial" w:cs="Arial"/>
          <w:sz w:val="18"/>
          <w:szCs w:val="18"/>
        </w:rPr>
        <w:footnoteRef/>
      </w:r>
      <w:r w:rsidRPr="00C355F9">
        <w:rPr>
          <w:rFonts w:ascii="Arial" w:hAnsi="Arial" w:cs="Arial"/>
          <w:sz w:val="18"/>
          <w:szCs w:val="18"/>
        </w:rPr>
        <w:t xml:space="preserve"> </w:t>
      </w:r>
      <w:r w:rsidRPr="00A67517">
        <w:rPr>
          <w:rFonts w:ascii="Arial" w:hAnsi="Arial" w:cs="Arial"/>
          <w:sz w:val="16"/>
          <w:szCs w:val="16"/>
        </w:rPr>
        <w:t xml:space="preserve">Van der Berg, S., Burger, C., Burger, R., De </w:t>
      </w:r>
      <w:proofErr w:type="spellStart"/>
      <w:r w:rsidRPr="00A67517">
        <w:rPr>
          <w:rFonts w:ascii="Arial" w:hAnsi="Arial" w:cs="Arial"/>
          <w:sz w:val="16"/>
          <w:szCs w:val="16"/>
        </w:rPr>
        <w:t>Vos</w:t>
      </w:r>
      <w:proofErr w:type="spellEnd"/>
      <w:r w:rsidRPr="00A67517">
        <w:rPr>
          <w:rFonts w:ascii="Arial" w:hAnsi="Arial" w:cs="Arial"/>
          <w:sz w:val="16"/>
          <w:szCs w:val="16"/>
        </w:rPr>
        <w:t xml:space="preserve">, M., Du Rand, G., </w:t>
      </w:r>
      <w:proofErr w:type="spellStart"/>
      <w:r w:rsidRPr="00A67517">
        <w:rPr>
          <w:rFonts w:ascii="Arial" w:hAnsi="Arial" w:cs="Arial"/>
          <w:sz w:val="16"/>
          <w:szCs w:val="16"/>
        </w:rPr>
        <w:t>Gustafsson</w:t>
      </w:r>
      <w:proofErr w:type="spellEnd"/>
      <w:r w:rsidRPr="00A67517">
        <w:rPr>
          <w:rFonts w:ascii="Arial" w:hAnsi="Arial" w:cs="Arial"/>
          <w:sz w:val="16"/>
          <w:szCs w:val="16"/>
        </w:rPr>
        <w:t>, M., et al. Low quality education as a poverty trap. Stellenbosch Economic Working Papers: 25/11.</w:t>
      </w:r>
    </w:p>
  </w:footnote>
  <w:footnote w:id="23">
    <w:p w14:paraId="741AC832" w14:textId="77777777" w:rsidR="00C5029A" w:rsidRPr="00A67517" w:rsidRDefault="00C5029A" w:rsidP="00E53A81">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Taylor, S. and Yu, D. (2009). The importance of socio-economic status in determining educational achievement in South Africa. Stellenbosch Economics Working Papers (01/09).</w:t>
      </w:r>
    </w:p>
  </w:footnote>
  <w:footnote w:id="24">
    <w:p w14:paraId="427F1535" w14:textId="77777777" w:rsidR="00C5029A" w:rsidRPr="00A67517" w:rsidRDefault="00C5029A" w:rsidP="00E53A81">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Van der Berg, S., Burger, C., Burger, R., De </w:t>
      </w:r>
      <w:proofErr w:type="spellStart"/>
      <w:r w:rsidRPr="00A67517">
        <w:rPr>
          <w:rFonts w:ascii="Arial" w:hAnsi="Arial" w:cs="Arial"/>
          <w:sz w:val="16"/>
          <w:szCs w:val="16"/>
        </w:rPr>
        <w:t>Vos</w:t>
      </w:r>
      <w:proofErr w:type="spellEnd"/>
      <w:r w:rsidRPr="00A67517">
        <w:rPr>
          <w:rFonts w:ascii="Arial" w:hAnsi="Arial" w:cs="Arial"/>
          <w:sz w:val="16"/>
          <w:szCs w:val="16"/>
        </w:rPr>
        <w:t xml:space="preserve">, M., Du Rand, G., </w:t>
      </w:r>
      <w:proofErr w:type="spellStart"/>
      <w:r w:rsidRPr="00A67517">
        <w:rPr>
          <w:rFonts w:ascii="Arial" w:hAnsi="Arial" w:cs="Arial"/>
          <w:sz w:val="16"/>
          <w:szCs w:val="16"/>
        </w:rPr>
        <w:t>Gustafsson</w:t>
      </w:r>
      <w:proofErr w:type="spellEnd"/>
      <w:r w:rsidRPr="00A67517">
        <w:rPr>
          <w:rFonts w:ascii="Arial" w:hAnsi="Arial" w:cs="Arial"/>
          <w:sz w:val="16"/>
          <w:szCs w:val="16"/>
        </w:rPr>
        <w:t>, M., et al. (no year) Low quality education as a poverty trap. Stellenbosch Economic Working Papers: 25/11.</w:t>
      </w:r>
    </w:p>
  </w:footnote>
  <w:footnote w:id="25">
    <w:p w14:paraId="205D7397" w14:textId="77777777" w:rsidR="00C5029A" w:rsidRPr="00A67517" w:rsidRDefault="00C5029A" w:rsidP="00E53A81">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Department of Basic Education. (2013). Macro Indicator Report. Pretoria: Department of Basic Education.</w:t>
      </w:r>
    </w:p>
  </w:footnote>
  <w:footnote w:id="26">
    <w:p w14:paraId="3C281975" w14:textId="77777777" w:rsidR="00C5029A" w:rsidRPr="00A67517" w:rsidRDefault="00C5029A" w:rsidP="00E53A81">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Van der Berg, S., Burger, C., Burger, R., De </w:t>
      </w:r>
      <w:proofErr w:type="spellStart"/>
      <w:r w:rsidRPr="00A67517">
        <w:rPr>
          <w:rFonts w:ascii="Arial" w:hAnsi="Arial" w:cs="Arial"/>
          <w:sz w:val="16"/>
          <w:szCs w:val="16"/>
        </w:rPr>
        <w:t>Vos</w:t>
      </w:r>
      <w:proofErr w:type="spellEnd"/>
      <w:r w:rsidRPr="00A67517">
        <w:rPr>
          <w:rFonts w:ascii="Arial" w:hAnsi="Arial" w:cs="Arial"/>
          <w:sz w:val="16"/>
          <w:szCs w:val="16"/>
        </w:rPr>
        <w:t xml:space="preserve">, M., Du Rand, G., </w:t>
      </w:r>
      <w:proofErr w:type="spellStart"/>
      <w:r w:rsidRPr="00A67517">
        <w:rPr>
          <w:rFonts w:ascii="Arial" w:hAnsi="Arial" w:cs="Arial"/>
          <w:sz w:val="16"/>
          <w:szCs w:val="16"/>
        </w:rPr>
        <w:t>Gustafsson</w:t>
      </w:r>
      <w:proofErr w:type="spellEnd"/>
      <w:r w:rsidRPr="00A67517">
        <w:rPr>
          <w:rFonts w:ascii="Arial" w:hAnsi="Arial" w:cs="Arial"/>
          <w:sz w:val="16"/>
          <w:szCs w:val="16"/>
        </w:rPr>
        <w:t>, M., et al. (no year). Low quality education as a poverty trap. Stellenbosch Economic Working Papers: 25/11</w:t>
      </w:r>
    </w:p>
  </w:footnote>
  <w:footnote w:id="27">
    <w:p w14:paraId="696580C8" w14:textId="77777777" w:rsidR="00C5029A" w:rsidRPr="00A67517" w:rsidRDefault="00C5029A" w:rsidP="00E53A81">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w:t>
      </w:r>
      <w:proofErr w:type="spellStart"/>
      <w:r w:rsidRPr="00A67517">
        <w:rPr>
          <w:rFonts w:ascii="Arial" w:hAnsi="Arial" w:cs="Arial"/>
          <w:sz w:val="16"/>
          <w:szCs w:val="16"/>
        </w:rPr>
        <w:t>Talyor</w:t>
      </w:r>
      <w:proofErr w:type="spellEnd"/>
      <w:r w:rsidRPr="00A67517">
        <w:rPr>
          <w:rFonts w:ascii="Arial" w:hAnsi="Arial" w:cs="Arial"/>
          <w:sz w:val="16"/>
          <w:szCs w:val="16"/>
        </w:rPr>
        <w:t xml:space="preserve">, S., Van der Berg, S., Reddy, V., and van </w:t>
      </w:r>
      <w:proofErr w:type="spellStart"/>
      <w:r w:rsidRPr="00A67517">
        <w:rPr>
          <w:rFonts w:ascii="Arial" w:hAnsi="Arial" w:cs="Arial"/>
          <w:sz w:val="16"/>
          <w:szCs w:val="16"/>
        </w:rPr>
        <w:t>Rensburg</w:t>
      </w:r>
      <w:proofErr w:type="spellEnd"/>
      <w:r w:rsidRPr="00A67517">
        <w:rPr>
          <w:rFonts w:ascii="Arial" w:hAnsi="Arial" w:cs="Arial"/>
          <w:sz w:val="16"/>
          <w:szCs w:val="16"/>
        </w:rPr>
        <w:t>, DJ. The evolution of educational inequalities through secondary school: Evidence from a South African panel study. Development South Africa, 32:4.</w:t>
      </w:r>
    </w:p>
  </w:footnote>
  <w:footnote w:id="28">
    <w:p w14:paraId="760A6C58" w14:textId="77777777" w:rsidR="00C5029A" w:rsidRPr="00E53A81" w:rsidRDefault="00C5029A" w:rsidP="00E53A81">
      <w:pPr>
        <w:pStyle w:val="FootnoteText"/>
        <w:ind w:left="270" w:hanging="270"/>
        <w:rPr>
          <w:rFonts w:ascii="Arial" w:hAnsi="Arial" w:cs="Arial"/>
          <w:sz w:val="18"/>
          <w:szCs w:val="18"/>
        </w:rPr>
      </w:pPr>
      <w:r w:rsidRPr="00A67517">
        <w:rPr>
          <w:rStyle w:val="FootnoteReference"/>
          <w:rFonts w:ascii="Arial" w:hAnsi="Arial" w:cs="Arial"/>
          <w:sz w:val="16"/>
          <w:szCs w:val="16"/>
        </w:rPr>
        <w:footnoteRef/>
      </w:r>
      <w:r w:rsidRPr="00A67517">
        <w:rPr>
          <w:rFonts w:ascii="Arial" w:hAnsi="Arial" w:cs="Arial"/>
          <w:sz w:val="16"/>
          <w:szCs w:val="16"/>
        </w:rPr>
        <w:t xml:space="preserve"> Spaull, N., van der Berg, S., Wills, G., </w:t>
      </w:r>
      <w:proofErr w:type="spellStart"/>
      <w:r w:rsidRPr="00A67517">
        <w:rPr>
          <w:rFonts w:ascii="Arial" w:hAnsi="Arial" w:cs="Arial"/>
          <w:sz w:val="16"/>
          <w:szCs w:val="16"/>
        </w:rPr>
        <w:t>Gustafsson</w:t>
      </w:r>
      <w:proofErr w:type="spellEnd"/>
      <w:r w:rsidRPr="00A67517">
        <w:rPr>
          <w:rFonts w:ascii="Arial" w:hAnsi="Arial" w:cs="Arial"/>
          <w:sz w:val="16"/>
          <w:szCs w:val="16"/>
        </w:rPr>
        <w:t xml:space="preserve">, M., and </w:t>
      </w:r>
      <w:proofErr w:type="spellStart"/>
      <w:r w:rsidRPr="00A67517">
        <w:rPr>
          <w:rFonts w:ascii="Arial" w:hAnsi="Arial" w:cs="Arial"/>
          <w:sz w:val="16"/>
          <w:szCs w:val="16"/>
        </w:rPr>
        <w:t>Kotze</w:t>
      </w:r>
      <w:proofErr w:type="spellEnd"/>
      <w:r w:rsidRPr="00A67517">
        <w:rPr>
          <w:rFonts w:ascii="Arial" w:hAnsi="Arial" w:cs="Arial"/>
          <w:sz w:val="16"/>
          <w:szCs w:val="16"/>
        </w:rPr>
        <w:t>, J. (2016). Laying firm foundations. Getting reading right. Research on Socio-economic Policy, Department of Economics, University of Stellenbosch.</w:t>
      </w:r>
    </w:p>
  </w:footnote>
  <w:footnote w:id="29">
    <w:p w14:paraId="08EB5732" w14:textId="77777777" w:rsidR="00C5029A" w:rsidRPr="00A67517" w:rsidRDefault="00C5029A" w:rsidP="00E33D31">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Department of Basic Education. (2013). Macro Indicator Report. Pretoria: Department of Basic Education</w:t>
      </w:r>
    </w:p>
  </w:footnote>
  <w:footnote w:id="30">
    <w:p w14:paraId="477CC9F1" w14:textId="12873F4A" w:rsidR="00C5029A" w:rsidRPr="00A67517" w:rsidRDefault="00C5029A" w:rsidP="00E33D31">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Ibid.</w:t>
      </w:r>
    </w:p>
  </w:footnote>
  <w:footnote w:id="31">
    <w:p w14:paraId="195C05E9" w14:textId="77777777" w:rsidR="00C5029A" w:rsidRPr="00A67517" w:rsidRDefault="00C5029A" w:rsidP="00E33D31">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Van der Berg, S., Burger, C., Burger, R., De </w:t>
      </w:r>
      <w:proofErr w:type="spellStart"/>
      <w:r w:rsidRPr="00A67517">
        <w:rPr>
          <w:rFonts w:ascii="Arial" w:hAnsi="Arial" w:cs="Arial"/>
          <w:sz w:val="16"/>
          <w:szCs w:val="16"/>
        </w:rPr>
        <w:t>Vos</w:t>
      </w:r>
      <w:proofErr w:type="spellEnd"/>
      <w:r w:rsidRPr="00A67517">
        <w:rPr>
          <w:rFonts w:ascii="Arial" w:hAnsi="Arial" w:cs="Arial"/>
          <w:sz w:val="16"/>
          <w:szCs w:val="16"/>
        </w:rPr>
        <w:t xml:space="preserve">, M., Du Rand, G., </w:t>
      </w:r>
      <w:proofErr w:type="spellStart"/>
      <w:r w:rsidRPr="00A67517">
        <w:rPr>
          <w:rFonts w:ascii="Arial" w:hAnsi="Arial" w:cs="Arial"/>
          <w:sz w:val="16"/>
          <w:szCs w:val="16"/>
        </w:rPr>
        <w:t>Gustafsson</w:t>
      </w:r>
      <w:proofErr w:type="spellEnd"/>
      <w:r w:rsidRPr="00A67517">
        <w:rPr>
          <w:rFonts w:ascii="Arial" w:hAnsi="Arial" w:cs="Arial"/>
          <w:sz w:val="16"/>
          <w:szCs w:val="16"/>
        </w:rPr>
        <w:t>, M., et al. Low quality education as a poverty trap. Stellenbosch Economic Working Papers: 25/11.</w:t>
      </w:r>
    </w:p>
  </w:footnote>
  <w:footnote w:id="32">
    <w:p w14:paraId="7A5B6993" w14:textId="77777777" w:rsidR="00C5029A" w:rsidRPr="00A67517" w:rsidRDefault="00C5029A" w:rsidP="00E33D31">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Spaull, N., van der Berg, S., Wills, G., </w:t>
      </w:r>
      <w:proofErr w:type="spellStart"/>
      <w:r w:rsidRPr="00A67517">
        <w:rPr>
          <w:rFonts w:ascii="Arial" w:hAnsi="Arial" w:cs="Arial"/>
          <w:sz w:val="16"/>
          <w:szCs w:val="16"/>
        </w:rPr>
        <w:t>Gustafsson</w:t>
      </w:r>
      <w:proofErr w:type="spellEnd"/>
      <w:r w:rsidRPr="00A67517">
        <w:rPr>
          <w:rFonts w:ascii="Arial" w:hAnsi="Arial" w:cs="Arial"/>
          <w:sz w:val="16"/>
          <w:szCs w:val="16"/>
        </w:rPr>
        <w:t xml:space="preserve">, M., and </w:t>
      </w:r>
      <w:proofErr w:type="spellStart"/>
      <w:r w:rsidRPr="00A67517">
        <w:rPr>
          <w:rFonts w:ascii="Arial" w:hAnsi="Arial" w:cs="Arial"/>
          <w:sz w:val="16"/>
          <w:szCs w:val="16"/>
        </w:rPr>
        <w:t>Kotze</w:t>
      </w:r>
      <w:proofErr w:type="spellEnd"/>
      <w:r w:rsidRPr="00A67517">
        <w:rPr>
          <w:rFonts w:ascii="Arial" w:hAnsi="Arial" w:cs="Arial"/>
          <w:sz w:val="16"/>
          <w:szCs w:val="16"/>
        </w:rPr>
        <w:t>, J. (2016). Laying firm foundations. Getting reading right. Research on Socio-economic Policy, Department of Economics, University of Stellenbosch.</w:t>
      </w:r>
    </w:p>
  </w:footnote>
  <w:footnote w:id="33">
    <w:p w14:paraId="1FEE1382" w14:textId="77777777" w:rsidR="00C5029A" w:rsidRPr="00A67517" w:rsidRDefault="00C5029A" w:rsidP="00E33D31">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Department of Basic Education. (2013) School Monitoring Survey 2011. Pretoria: Department of Basic Education</w:t>
      </w:r>
    </w:p>
  </w:footnote>
  <w:footnote w:id="34">
    <w:p w14:paraId="0B6F134F" w14:textId="77777777" w:rsidR="00C5029A" w:rsidRPr="00E53A81" w:rsidRDefault="00C5029A" w:rsidP="00E33D31">
      <w:pPr>
        <w:pStyle w:val="FootnoteText"/>
        <w:ind w:left="270" w:hanging="270"/>
        <w:rPr>
          <w:rFonts w:ascii="Arial" w:hAnsi="Arial" w:cs="Arial"/>
          <w:sz w:val="18"/>
          <w:szCs w:val="18"/>
        </w:rPr>
      </w:pPr>
      <w:r w:rsidRPr="00E53A81">
        <w:rPr>
          <w:rStyle w:val="FootnoteReference"/>
          <w:rFonts w:ascii="Arial" w:hAnsi="Arial" w:cs="Arial"/>
          <w:sz w:val="18"/>
          <w:szCs w:val="18"/>
        </w:rPr>
        <w:footnoteRef/>
      </w:r>
      <w:r w:rsidRPr="00E53A81">
        <w:rPr>
          <w:rFonts w:ascii="Arial" w:hAnsi="Arial" w:cs="Arial"/>
          <w:sz w:val="18"/>
          <w:szCs w:val="18"/>
        </w:rPr>
        <w:t xml:space="preserve"> Department of Basic Education. Action Plan to 2019. Towards the Realisation of Schooling 2030. Pretoria: DBE</w:t>
      </w:r>
    </w:p>
  </w:footnote>
  <w:footnote w:id="35">
    <w:p w14:paraId="3F447034" w14:textId="77777777" w:rsidR="00C5029A" w:rsidRPr="00A67517" w:rsidRDefault="00C5029A" w:rsidP="00E33D31">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Spaull, N., van der Berg, S., Wills, G., </w:t>
      </w:r>
      <w:proofErr w:type="spellStart"/>
      <w:r w:rsidRPr="00A67517">
        <w:rPr>
          <w:rFonts w:ascii="Arial" w:hAnsi="Arial" w:cs="Arial"/>
          <w:sz w:val="16"/>
          <w:szCs w:val="16"/>
        </w:rPr>
        <w:t>Gustafsson</w:t>
      </w:r>
      <w:proofErr w:type="spellEnd"/>
      <w:r w:rsidRPr="00A67517">
        <w:rPr>
          <w:rFonts w:ascii="Arial" w:hAnsi="Arial" w:cs="Arial"/>
          <w:sz w:val="16"/>
          <w:szCs w:val="16"/>
        </w:rPr>
        <w:t xml:space="preserve">, M., and </w:t>
      </w:r>
      <w:proofErr w:type="spellStart"/>
      <w:r w:rsidRPr="00A67517">
        <w:rPr>
          <w:rFonts w:ascii="Arial" w:hAnsi="Arial" w:cs="Arial"/>
          <w:sz w:val="16"/>
          <w:szCs w:val="16"/>
        </w:rPr>
        <w:t>Kotze</w:t>
      </w:r>
      <w:proofErr w:type="spellEnd"/>
      <w:r w:rsidRPr="00A67517">
        <w:rPr>
          <w:rFonts w:ascii="Arial" w:hAnsi="Arial" w:cs="Arial"/>
          <w:sz w:val="16"/>
          <w:szCs w:val="16"/>
        </w:rPr>
        <w:t>, J. (2016). Laying firm foundations. Getting reading right. Research on Socio-economic Policy, Department of Economics, University of Stellenbosch.</w:t>
      </w:r>
    </w:p>
  </w:footnote>
  <w:footnote w:id="36">
    <w:p w14:paraId="3F913EB3" w14:textId="77777777" w:rsidR="00C5029A" w:rsidRPr="00A67517" w:rsidRDefault="00C5029A" w:rsidP="00E33D31">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Department of Basic Education. (2013). Macro Indicator Report. Pretoria: Department of Basic Education</w:t>
      </w:r>
    </w:p>
  </w:footnote>
  <w:footnote w:id="37">
    <w:p w14:paraId="421F41A1" w14:textId="77777777" w:rsidR="00C5029A" w:rsidRPr="00A67517" w:rsidRDefault="00C5029A" w:rsidP="00E33D31">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Spaull, N., van der Berg, S., Wills, G., </w:t>
      </w:r>
      <w:proofErr w:type="spellStart"/>
      <w:r w:rsidRPr="00A67517">
        <w:rPr>
          <w:rFonts w:ascii="Arial" w:hAnsi="Arial" w:cs="Arial"/>
          <w:sz w:val="16"/>
          <w:szCs w:val="16"/>
        </w:rPr>
        <w:t>Gustafsson</w:t>
      </w:r>
      <w:proofErr w:type="spellEnd"/>
      <w:r w:rsidRPr="00A67517">
        <w:rPr>
          <w:rFonts w:ascii="Arial" w:hAnsi="Arial" w:cs="Arial"/>
          <w:sz w:val="16"/>
          <w:szCs w:val="16"/>
        </w:rPr>
        <w:t xml:space="preserve">, M., and </w:t>
      </w:r>
      <w:proofErr w:type="spellStart"/>
      <w:r w:rsidRPr="00A67517">
        <w:rPr>
          <w:rFonts w:ascii="Arial" w:hAnsi="Arial" w:cs="Arial"/>
          <w:sz w:val="16"/>
          <w:szCs w:val="16"/>
        </w:rPr>
        <w:t>Kotze</w:t>
      </w:r>
      <w:proofErr w:type="spellEnd"/>
      <w:r w:rsidRPr="00A67517">
        <w:rPr>
          <w:rFonts w:ascii="Arial" w:hAnsi="Arial" w:cs="Arial"/>
          <w:sz w:val="16"/>
          <w:szCs w:val="16"/>
        </w:rPr>
        <w:t>, J. (2016). Laying firm foundations. Getting reading right. Research on Socio-economic Policy, Department of Economics, University of Stellenbosch.</w:t>
      </w:r>
    </w:p>
  </w:footnote>
  <w:footnote w:id="38">
    <w:p w14:paraId="442586D8" w14:textId="77777777" w:rsidR="00C5029A" w:rsidRPr="00A67517" w:rsidRDefault="00C5029A" w:rsidP="00E33D31">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Department of Basic Education. (2015). Action Plan to 2019. Towards the Realisation of Schooling 2030. Pretoria: DBE</w:t>
      </w:r>
    </w:p>
  </w:footnote>
  <w:footnote w:id="39">
    <w:p w14:paraId="6EB2DFA3" w14:textId="77777777" w:rsidR="00C5029A" w:rsidRPr="00A67517" w:rsidRDefault="00C5029A" w:rsidP="00E33D31">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Spaull, N., van der Berg, S., Wills, G., </w:t>
      </w:r>
      <w:proofErr w:type="spellStart"/>
      <w:r w:rsidRPr="00A67517">
        <w:rPr>
          <w:rFonts w:ascii="Arial" w:hAnsi="Arial" w:cs="Arial"/>
          <w:sz w:val="16"/>
          <w:szCs w:val="16"/>
        </w:rPr>
        <w:t>Gustafsson</w:t>
      </w:r>
      <w:proofErr w:type="spellEnd"/>
      <w:r w:rsidRPr="00A67517">
        <w:rPr>
          <w:rFonts w:ascii="Arial" w:hAnsi="Arial" w:cs="Arial"/>
          <w:sz w:val="16"/>
          <w:szCs w:val="16"/>
        </w:rPr>
        <w:t xml:space="preserve">, M., and </w:t>
      </w:r>
      <w:proofErr w:type="spellStart"/>
      <w:r w:rsidRPr="00A67517">
        <w:rPr>
          <w:rFonts w:ascii="Arial" w:hAnsi="Arial" w:cs="Arial"/>
          <w:sz w:val="16"/>
          <w:szCs w:val="16"/>
        </w:rPr>
        <w:t>Kotze</w:t>
      </w:r>
      <w:proofErr w:type="spellEnd"/>
      <w:r w:rsidRPr="00A67517">
        <w:rPr>
          <w:rFonts w:ascii="Arial" w:hAnsi="Arial" w:cs="Arial"/>
          <w:sz w:val="16"/>
          <w:szCs w:val="16"/>
        </w:rPr>
        <w:t>, J. (2016). Laying firm foundations. Getting reading right. Research on Socio-economic Policy, Department of Economics, University of Stellenbosch.</w:t>
      </w:r>
    </w:p>
  </w:footnote>
  <w:footnote w:id="40">
    <w:p w14:paraId="5F3A61E1" w14:textId="77777777" w:rsidR="00C5029A" w:rsidRPr="00E53A81" w:rsidRDefault="00C5029A" w:rsidP="00E33D31">
      <w:pPr>
        <w:pStyle w:val="FootnoteText"/>
        <w:ind w:left="270" w:hanging="270"/>
        <w:rPr>
          <w:rFonts w:ascii="Arial" w:hAnsi="Arial" w:cs="Arial"/>
          <w:sz w:val="18"/>
          <w:szCs w:val="18"/>
        </w:rPr>
      </w:pPr>
      <w:r w:rsidRPr="00A67517">
        <w:rPr>
          <w:rStyle w:val="FootnoteReference"/>
          <w:rFonts w:ascii="Arial" w:hAnsi="Arial" w:cs="Arial"/>
          <w:sz w:val="16"/>
          <w:szCs w:val="16"/>
        </w:rPr>
        <w:footnoteRef/>
      </w:r>
      <w:r w:rsidRPr="00A67517">
        <w:rPr>
          <w:rFonts w:ascii="Arial" w:hAnsi="Arial" w:cs="Arial"/>
          <w:sz w:val="16"/>
          <w:szCs w:val="16"/>
        </w:rPr>
        <w:t xml:space="preserve"> Ibid.</w:t>
      </w:r>
    </w:p>
  </w:footnote>
  <w:footnote w:id="41">
    <w:p w14:paraId="5DC9E3B5" w14:textId="29B30FDB" w:rsidR="00C5029A" w:rsidRPr="00A67517" w:rsidRDefault="00C5029A" w:rsidP="00B22BCE">
      <w:pPr>
        <w:pStyle w:val="FootnoteText"/>
        <w:ind w:left="270" w:hanging="270"/>
        <w:rPr>
          <w:rFonts w:ascii="Arial" w:hAnsi="Arial" w:cs="Arial"/>
          <w:sz w:val="16"/>
          <w:szCs w:val="16"/>
        </w:rPr>
      </w:pPr>
      <w:r w:rsidRPr="00E53A81">
        <w:rPr>
          <w:rStyle w:val="FootnoteReference"/>
          <w:rFonts w:ascii="Arial" w:hAnsi="Arial" w:cs="Arial"/>
          <w:sz w:val="18"/>
          <w:szCs w:val="18"/>
        </w:rPr>
        <w:footnoteRef/>
      </w:r>
      <w:r w:rsidRPr="00E53A81">
        <w:rPr>
          <w:rFonts w:ascii="Arial" w:hAnsi="Arial" w:cs="Arial"/>
          <w:sz w:val="18"/>
          <w:szCs w:val="18"/>
        </w:rPr>
        <w:t xml:space="preserve"> </w:t>
      </w:r>
      <w:r>
        <w:rPr>
          <w:rFonts w:ascii="Arial" w:hAnsi="Arial" w:cs="Arial"/>
          <w:sz w:val="18"/>
          <w:szCs w:val="18"/>
        </w:rPr>
        <w:t xml:space="preserve"> </w:t>
      </w:r>
      <w:r w:rsidRPr="00A67517">
        <w:rPr>
          <w:rFonts w:ascii="Arial" w:hAnsi="Arial" w:cs="Arial"/>
          <w:sz w:val="16"/>
          <w:szCs w:val="16"/>
        </w:rPr>
        <w:t>Department of Basic Education. (2015). Action Plan to 2019. Towards the Realisation of Schooling 2030. Pretoria: DBE</w:t>
      </w:r>
    </w:p>
  </w:footnote>
  <w:footnote w:id="42">
    <w:p w14:paraId="253170F8" w14:textId="77777777" w:rsidR="00C5029A" w:rsidRPr="00A67517" w:rsidRDefault="00C5029A" w:rsidP="00E821AD">
      <w:pPr>
        <w:ind w:left="270" w:hanging="270"/>
        <w:jc w:val="both"/>
        <w:rPr>
          <w:rFonts w:cs="Arial"/>
          <w:sz w:val="16"/>
          <w:szCs w:val="16"/>
        </w:rPr>
      </w:pPr>
      <w:r w:rsidRPr="00A67517">
        <w:rPr>
          <w:rStyle w:val="FootnoteReference"/>
          <w:rFonts w:cs="Arial"/>
          <w:sz w:val="16"/>
          <w:szCs w:val="16"/>
        </w:rPr>
        <w:footnoteRef/>
      </w:r>
      <w:r w:rsidRPr="00A67517">
        <w:rPr>
          <w:rFonts w:cs="Arial"/>
          <w:sz w:val="16"/>
          <w:szCs w:val="16"/>
        </w:rPr>
        <w:t xml:space="preserve"> Although corporal punishment in schools has been on the decline from 16.7 per cent in 2011 to 12.4 per cent in 2014,</w:t>
      </w:r>
      <w:r w:rsidRPr="00A67517">
        <w:rPr>
          <w:rStyle w:val="FootnoteReference"/>
          <w:rFonts w:cs="Arial"/>
          <w:sz w:val="16"/>
          <w:szCs w:val="16"/>
        </w:rPr>
        <w:footnoteRef/>
      </w:r>
      <w:r w:rsidRPr="00A67517">
        <w:rPr>
          <w:rFonts w:cs="Arial"/>
          <w:sz w:val="16"/>
          <w:szCs w:val="16"/>
        </w:rPr>
        <w:t xml:space="preserve"> 22 per cent of children report to have experienced some form of </w:t>
      </w:r>
      <w:r w:rsidRPr="00A67517">
        <w:rPr>
          <w:rFonts w:cs="Arial"/>
          <w:sz w:val="16"/>
          <w:szCs w:val="16"/>
          <w:u w:val="single"/>
        </w:rPr>
        <w:t>violence in schools</w:t>
      </w:r>
      <w:r w:rsidRPr="00A67517">
        <w:rPr>
          <w:rFonts w:cs="Arial"/>
          <w:sz w:val="16"/>
          <w:szCs w:val="16"/>
        </w:rPr>
        <w:t>.</w:t>
      </w:r>
      <w:r w:rsidRPr="00A67517">
        <w:rPr>
          <w:rStyle w:val="FootnoteReference"/>
          <w:rFonts w:cs="Arial"/>
          <w:sz w:val="16"/>
          <w:szCs w:val="16"/>
        </w:rPr>
        <w:footnoteRef/>
      </w:r>
      <w:r w:rsidRPr="00A67517">
        <w:rPr>
          <w:rFonts w:cs="Arial"/>
          <w:sz w:val="16"/>
          <w:szCs w:val="16"/>
        </w:rPr>
        <w:t xml:space="preserve"> </w:t>
      </w:r>
    </w:p>
  </w:footnote>
  <w:footnote w:id="43">
    <w:p w14:paraId="74C7A83E" w14:textId="77777777" w:rsidR="00C5029A" w:rsidRPr="00A67517" w:rsidRDefault="00C5029A" w:rsidP="00E821AD">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Reddy SP, James S, </w:t>
      </w:r>
      <w:proofErr w:type="spellStart"/>
      <w:r w:rsidRPr="00A67517">
        <w:rPr>
          <w:rFonts w:ascii="Arial" w:hAnsi="Arial" w:cs="Arial"/>
          <w:sz w:val="16"/>
          <w:szCs w:val="16"/>
        </w:rPr>
        <w:t>Sewpaul</w:t>
      </w:r>
      <w:proofErr w:type="spellEnd"/>
      <w:r w:rsidRPr="00A67517">
        <w:rPr>
          <w:rFonts w:ascii="Arial" w:hAnsi="Arial" w:cs="Arial"/>
          <w:sz w:val="16"/>
          <w:szCs w:val="16"/>
        </w:rPr>
        <w:t xml:space="preserve"> R, </w:t>
      </w:r>
      <w:proofErr w:type="spellStart"/>
      <w:r w:rsidRPr="00A67517">
        <w:rPr>
          <w:rFonts w:ascii="Arial" w:hAnsi="Arial" w:cs="Arial"/>
          <w:sz w:val="16"/>
          <w:szCs w:val="16"/>
        </w:rPr>
        <w:t>Sifunda</w:t>
      </w:r>
      <w:proofErr w:type="spellEnd"/>
      <w:r w:rsidRPr="00A67517">
        <w:rPr>
          <w:rFonts w:ascii="Arial" w:hAnsi="Arial" w:cs="Arial"/>
          <w:sz w:val="16"/>
          <w:szCs w:val="16"/>
        </w:rPr>
        <w:t xml:space="preserve"> S, </w:t>
      </w:r>
      <w:proofErr w:type="spellStart"/>
      <w:r w:rsidRPr="00A67517">
        <w:rPr>
          <w:rFonts w:ascii="Arial" w:hAnsi="Arial" w:cs="Arial"/>
          <w:sz w:val="16"/>
          <w:szCs w:val="16"/>
        </w:rPr>
        <w:t>Ellahebokus</w:t>
      </w:r>
      <w:proofErr w:type="spellEnd"/>
      <w:r w:rsidRPr="00A67517">
        <w:rPr>
          <w:rFonts w:ascii="Arial" w:hAnsi="Arial" w:cs="Arial"/>
          <w:sz w:val="16"/>
          <w:szCs w:val="16"/>
        </w:rPr>
        <w:t xml:space="preserve"> A, </w:t>
      </w:r>
      <w:proofErr w:type="spellStart"/>
      <w:r w:rsidRPr="00A67517">
        <w:rPr>
          <w:rFonts w:ascii="Arial" w:hAnsi="Arial" w:cs="Arial"/>
          <w:sz w:val="16"/>
          <w:szCs w:val="16"/>
        </w:rPr>
        <w:t>Kambaran</w:t>
      </w:r>
      <w:proofErr w:type="spellEnd"/>
      <w:r w:rsidRPr="00A67517">
        <w:rPr>
          <w:rFonts w:ascii="Arial" w:hAnsi="Arial" w:cs="Arial"/>
          <w:sz w:val="16"/>
          <w:szCs w:val="16"/>
        </w:rPr>
        <w:t xml:space="preserve"> NS, </w:t>
      </w:r>
      <w:proofErr w:type="spellStart"/>
      <w:r w:rsidRPr="00A67517">
        <w:rPr>
          <w:rFonts w:ascii="Arial" w:hAnsi="Arial" w:cs="Arial"/>
          <w:sz w:val="16"/>
          <w:szCs w:val="16"/>
        </w:rPr>
        <w:t>Omardien</w:t>
      </w:r>
      <w:proofErr w:type="spellEnd"/>
      <w:r w:rsidRPr="00A67517">
        <w:rPr>
          <w:rFonts w:ascii="Arial" w:hAnsi="Arial" w:cs="Arial"/>
          <w:sz w:val="16"/>
          <w:szCs w:val="16"/>
        </w:rPr>
        <w:t xml:space="preserve"> RG. (2013). </w:t>
      </w:r>
      <w:proofErr w:type="spellStart"/>
      <w:r w:rsidRPr="00A67517">
        <w:rPr>
          <w:rFonts w:ascii="Arial" w:hAnsi="Arial" w:cs="Arial"/>
          <w:sz w:val="16"/>
          <w:szCs w:val="16"/>
        </w:rPr>
        <w:t>Umthente</w:t>
      </w:r>
      <w:proofErr w:type="spellEnd"/>
      <w:r w:rsidRPr="00A67517">
        <w:rPr>
          <w:rFonts w:ascii="Arial" w:hAnsi="Arial" w:cs="Arial"/>
          <w:sz w:val="16"/>
          <w:szCs w:val="16"/>
        </w:rPr>
        <w:t xml:space="preserve"> </w:t>
      </w:r>
      <w:proofErr w:type="spellStart"/>
      <w:r w:rsidRPr="00A67517">
        <w:rPr>
          <w:rFonts w:ascii="Arial" w:hAnsi="Arial" w:cs="Arial"/>
          <w:sz w:val="16"/>
          <w:szCs w:val="16"/>
        </w:rPr>
        <w:t>Uhlaba</w:t>
      </w:r>
      <w:proofErr w:type="spellEnd"/>
      <w:r w:rsidRPr="00A67517">
        <w:rPr>
          <w:rFonts w:ascii="Arial" w:hAnsi="Arial" w:cs="Arial"/>
          <w:sz w:val="16"/>
          <w:szCs w:val="16"/>
        </w:rPr>
        <w:t xml:space="preserve"> </w:t>
      </w:r>
      <w:proofErr w:type="spellStart"/>
      <w:r w:rsidRPr="00A67517">
        <w:rPr>
          <w:rFonts w:ascii="Arial" w:hAnsi="Arial" w:cs="Arial"/>
          <w:sz w:val="16"/>
          <w:szCs w:val="16"/>
        </w:rPr>
        <w:t>Usamila</w:t>
      </w:r>
      <w:proofErr w:type="spellEnd"/>
      <w:r w:rsidRPr="00A67517">
        <w:rPr>
          <w:rFonts w:ascii="Arial" w:hAnsi="Arial" w:cs="Arial"/>
          <w:sz w:val="16"/>
          <w:szCs w:val="16"/>
        </w:rPr>
        <w:t xml:space="preserve"> – The 3RD South African National Youth Risk Behaviour Survey 2011. Cape Town: South African Medical Research Council.</w:t>
      </w:r>
    </w:p>
  </w:footnote>
  <w:footnote w:id="44">
    <w:p w14:paraId="6CE5A457" w14:textId="77777777" w:rsidR="00C5029A" w:rsidRPr="00A67517" w:rsidRDefault="00C5029A" w:rsidP="00E821AD">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The Road to Dignity by 2030: Ending Poverty, Transforming All Lives and Protecting the Planet Synthesis Report of the Secretary-General On the Post-2015 Agenda.  Synthesis Report of the Secretary-General on the Post-2015 Agenda.  United Nations, New York, 2015 December  </w:t>
      </w:r>
    </w:p>
  </w:footnote>
  <w:footnote w:id="45">
    <w:p w14:paraId="650FC1EB" w14:textId="77777777" w:rsidR="00C5029A" w:rsidRPr="003B3855" w:rsidRDefault="00C5029A" w:rsidP="002315FE">
      <w:pPr>
        <w:pStyle w:val="FootnoteText"/>
        <w:rPr>
          <w:rFonts w:ascii="Arial" w:hAnsi="Arial" w:cs="Arial"/>
          <w:color w:val="FF0000"/>
          <w:sz w:val="18"/>
          <w:szCs w:val="18"/>
          <w:lang w:val="en-US"/>
        </w:rPr>
      </w:pPr>
      <w:r w:rsidRPr="00A67517">
        <w:rPr>
          <w:rStyle w:val="FootnoteReference"/>
          <w:rFonts w:ascii="Arial" w:hAnsi="Arial" w:cs="Arial"/>
          <w:sz w:val="16"/>
          <w:szCs w:val="16"/>
        </w:rPr>
        <w:footnoteRef/>
      </w:r>
      <w:r w:rsidRPr="00A67517">
        <w:rPr>
          <w:rFonts w:ascii="Arial" w:hAnsi="Arial" w:cs="Arial"/>
          <w:sz w:val="16"/>
          <w:szCs w:val="16"/>
        </w:rPr>
        <w:t xml:space="preserve"> </w:t>
      </w:r>
      <w:r w:rsidRPr="00A67517">
        <w:rPr>
          <w:rFonts w:ascii="Arial" w:hAnsi="Arial" w:cs="Arial"/>
          <w:color w:val="FF0000"/>
          <w:sz w:val="16"/>
          <w:szCs w:val="16"/>
          <w:lang w:val="en-US"/>
        </w:rPr>
        <w:t>According to the 2016 National Education Infrastructure Management System.</w:t>
      </w:r>
    </w:p>
  </w:footnote>
  <w:footnote w:id="46">
    <w:p w14:paraId="288F3DCC" w14:textId="77777777" w:rsidR="00C5029A" w:rsidRPr="00A67517" w:rsidRDefault="00C5029A" w:rsidP="002315FE">
      <w:pPr>
        <w:pStyle w:val="FootnoteText"/>
        <w:rPr>
          <w:rFonts w:ascii="Arial" w:hAnsi="Arial" w:cs="Arial"/>
          <w:sz w:val="16"/>
          <w:szCs w:val="16"/>
          <w:lang w:val="fr-FR"/>
        </w:rPr>
      </w:pPr>
      <w:r w:rsidRPr="00A67517">
        <w:rPr>
          <w:rStyle w:val="FootnoteReference"/>
          <w:rFonts w:ascii="Arial" w:hAnsi="Arial" w:cs="Arial"/>
          <w:sz w:val="16"/>
          <w:szCs w:val="16"/>
        </w:rPr>
        <w:footnoteRef/>
      </w:r>
      <w:r w:rsidRPr="00A67517">
        <w:rPr>
          <w:rFonts w:ascii="Arial" w:hAnsi="Arial" w:cs="Arial"/>
          <w:sz w:val="16"/>
          <w:szCs w:val="16"/>
          <w:lang w:val="fr-FR"/>
        </w:rPr>
        <w:t xml:space="preserve"> </w:t>
      </w:r>
      <w:r w:rsidRPr="00A67517">
        <w:rPr>
          <w:rFonts w:ascii="Arial" w:hAnsi="Arial" w:cs="Arial"/>
          <w:color w:val="C00000"/>
          <w:sz w:val="16"/>
          <w:szCs w:val="16"/>
          <w:lang w:val="fr-FR"/>
        </w:rPr>
        <w:t xml:space="preserve">WIN-SA, 2012. </w:t>
      </w:r>
      <w:proofErr w:type="gramStart"/>
      <w:r w:rsidRPr="00A67517">
        <w:rPr>
          <w:rFonts w:ascii="Arial" w:hAnsi="Arial" w:cs="Arial"/>
          <w:color w:val="C00000"/>
          <w:sz w:val="16"/>
          <w:szCs w:val="16"/>
          <w:lang w:val="fr-FR"/>
        </w:rPr>
        <w:t>Dialogues on</w:t>
      </w:r>
      <w:proofErr w:type="gramEnd"/>
      <w:r w:rsidRPr="00A67517">
        <w:rPr>
          <w:rFonts w:ascii="Arial" w:hAnsi="Arial" w:cs="Arial"/>
          <w:color w:val="C00000"/>
          <w:sz w:val="16"/>
          <w:szCs w:val="16"/>
          <w:lang w:val="fr-FR"/>
        </w:rPr>
        <w:t xml:space="preserve"> </w:t>
      </w:r>
      <w:proofErr w:type="spellStart"/>
      <w:r w:rsidRPr="00A67517">
        <w:rPr>
          <w:rFonts w:ascii="Arial" w:hAnsi="Arial" w:cs="Arial"/>
          <w:color w:val="C00000"/>
          <w:sz w:val="16"/>
          <w:szCs w:val="16"/>
          <w:lang w:val="fr-FR"/>
        </w:rPr>
        <w:t>Menstrual</w:t>
      </w:r>
      <w:proofErr w:type="spellEnd"/>
      <w:r w:rsidRPr="00A67517">
        <w:rPr>
          <w:rFonts w:ascii="Arial" w:hAnsi="Arial" w:cs="Arial"/>
          <w:color w:val="C00000"/>
          <w:sz w:val="16"/>
          <w:szCs w:val="16"/>
          <w:lang w:val="fr-FR"/>
        </w:rPr>
        <w:t xml:space="preserve"> </w:t>
      </w:r>
      <w:proofErr w:type="spellStart"/>
      <w:r w:rsidRPr="00A67517">
        <w:rPr>
          <w:rFonts w:ascii="Arial" w:hAnsi="Arial" w:cs="Arial"/>
          <w:color w:val="C00000"/>
          <w:sz w:val="16"/>
          <w:szCs w:val="16"/>
          <w:lang w:val="fr-FR"/>
        </w:rPr>
        <w:t>Hygiene</w:t>
      </w:r>
      <w:proofErr w:type="spellEnd"/>
      <w:r w:rsidRPr="00A67517">
        <w:rPr>
          <w:rFonts w:ascii="Arial" w:hAnsi="Arial" w:cs="Arial"/>
          <w:color w:val="C00000"/>
          <w:sz w:val="16"/>
          <w:szCs w:val="16"/>
          <w:lang w:val="fr-FR"/>
        </w:rPr>
        <w:t xml:space="preserve"> Management</w:t>
      </w:r>
    </w:p>
  </w:footnote>
  <w:footnote w:id="47">
    <w:p w14:paraId="46391ADC" w14:textId="689943F2" w:rsidR="00C5029A" w:rsidRPr="00A67517" w:rsidRDefault="00C5029A">
      <w:pPr>
        <w:pStyle w:val="FootnoteText"/>
        <w:rPr>
          <w:rFonts w:ascii="Arial" w:hAnsi="Arial" w:cs="Arial"/>
          <w:sz w:val="16"/>
          <w:szCs w:val="16"/>
          <w:lang w:val="en-US"/>
        </w:rPr>
      </w:pPr>
      <w:r w:rsidRPr="00A67517">
        <w:rPr>
          <w:rStyle w:val="FootnoteReference"/>
          <w:rFonts w:ascii="Arial" w:hAnsi="Arial" w:cs="Arial"/>
          <w:sz w:val="16"/>
          <w:szCs w:val="16"/>
        </w:rPr>
        <w:footnoteRef/>
      </w:r>
      <w:r w:rsidRPr="00A67517">
        <w:rPr>
          <w:rFonts w:ascii="Arial" w:hAnsi="Arial" w:cs="Arial"/>
          <w:sz w:val="16"/>
          <w:szCs w:val="16"/>
        </w:rPr>
        <w:t xml:space="preserve"> </w:t>
      </w:r>
      <w:r w:rsidRPr="006646F2">
        <w:rPr>
          <w:rFonts w:ascii="Arial" w:hAnsi="Arial" w:cs="Arial"/>
          <w:sz w:val="16"/>
          <w:szCs w:val="16"/>
        </w:rPr>
        <w:t xml:space="preserve">UNICEF 2009 </w:t>
      </w:r>
    </w:p>
  </w:footnote>
  <w:footnote w:id="48">
    <w:p w14:paraId="6E020F4C" w14:textId="77777777" w:rsidR="00C5029A" w:rsidRPr="00A67517" w:rsidRDefault="00C5029A" w:rsidP="00E53A81">
      <w:pPr>
        <w:pStyle w:val="FootnoteText"/>
        <w:rPr>
          <w:rFonts w:ascii="Arial" w:hAnsi="Arial" w:cs="Arial"/>
          <w:sz w:val="16"/>
          <w:szCs w:val="16"/>
          <w:lang w:val="en-US"/>
        </w:rPr>
      </w:pPr>
      <w:r w:rsidRPr="00A67517">
        <w:rPr>
          <w:rStyle w:val="FootnoteReference"/>
          <w:rFonts w:ascii="Arial" w:hAnsi="Arial" w:cs="Arial"/>
          <w:sz w:val="16"/>
          <w:szCs w:val="16"/>
        </w:rPr>
        <w:footnoteRef/>
      </w:r>
      <w:r w:rsidRPr="00A67517">
        <w:rPr>
          <w:rFonts w:ascii="Arial" w:hAnsi="Arial" w:cs="Arial"/>
          <w:sz w:val="16"/>
          <w:szCs w:val="16"/>
          <w:lang w:val="en-US"/>
        </w:rPr>
        <w:t xml:space="preserve"> National School Violence Survey 2012</w:t>
      </w:r>
    </w:p>
  </w:footnote>
  <w:footnote w:id="49">
    <w:p w14:paraId="7570A1E2" w14:textId="77777777" w:rsidR="00C5029A" w:rsidRPr="00A67517" w:rsidRDefault="00C5029A" w:rsidP="00E53A81">
      <w:pPr>
        <w:pStyle w:val="FootnoteText"/>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National School Violence Survey, 2012</w:t>
      </w:r>
    </w:p>
  </w:footnote>
  <w:footnote w:id="50">
    <w:p w14:paraId="7CFF4A84" w14:textId="497CBC1B" w:rsidR="00C5029A" w:rsidRPr="00A67517" w:rsidRDefault="00C5029A" w:rsidP="00EB6D29">
      <w:pPr>
        <w:pStyle w:val="FootnoteText"/>
        <w:ind w:left="270" w:hanging="270"/>
        <w:rPr>
          <w:rFonts w:ascii="Arial" w:hAnsi="Arial" w:cs="Arial"/>
          <w:sz w:val="16"/>
          <w:szCs w:val="16"/>
        </w:rPr>
      </w:pPr>
      <w:r w:rsidRPr="00A67517">
        <w:rPr>
          <w:rStyle w:val="FootnoteReference"/>
          <w:rFonts w:ascii="Arial" w:hAnsi="Arial" w:cs="Arial"/>
          <w:sz w:val="16"/>
          <w:szCs w:val="16"/>
        </w:rPr>
        <w:footnoteRef/>
      </w:r>
      <w:r w:rsidRPr="00A67517">
        <w:rPr>
          <w:rFonts w:ascii="Arial" w:hAnsi="Arial" w:cs="Arial"/>
          <w:sz w:val="16"/>
          <w:szCs w:val="16"/>
        </w:rPr>
        <w:t xml:space="preserve"> National School Violence Survey, 2012</w:t>
      </w:r>
    </w:p>
  </w:footnote>
  <w:footnote w:id="51">
    <w:p w14:paraId="68DAAE0D" w14:textId="77777777" w:rsidR="00C5029A" w:rsidRPr="00E53A81" w:rsidRDefault="00C5029A" w:rsidP="00EB6D29">
      <w:pPr>
        <w:pStyle w:val="FootnoteText"/>
        <w:ind w:left="270" w:hanging="270"/>
        <w:rPr>
          <w:rFonts w:ascii="Arial" w:hAnsi="Arial" w:cs="Arial"/>
          <w:sz w:val="18"/>
          <w:szCs w:val="18"/>
        </w:rPr>
      </w:pPr>
      <w:r w:rsidRPr="00A67517">
        <w:rPr>
          <w:rStyle w:val="FootnoteReference"/>
          <w:rFonts w:ascii="Arial" w:hAnsi="Arial" w:cs="Arial"/>
          <w:sz w:val="16"/>
          <w:szCs w:val="16"/>
        </w:rPr>
        <w:footnoteRef/>
      </w:r>
      <w:r w:rsidRPr="00A67517">
        <w:rPr>
          <w:rFonts w:ascii="Arial" w:hAnsi="Arial" w:cs="Arial"/>
          <w:sz w:val="16"/>
          <w:szCs w:val="16"/>
        </w:rPr>
        <w:t xml:space="preserve"> GHS - 2015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345F"/>
    <w:multiLevelType w:val="multilevel"/>
    <w:tmpl w:val="899CB938"/>
    <w:lvl w:ilvl="0">
      <w:start w:val="1"/>
      <w:numFmt w:val="decimal"/>
      <w:pStyle w:val="Heading1"/>
      <w:lvlText w:val="%1."/>
      <w:lvlJc w:val="left"/>
      <w:pPr>
        <w:ind w:left="720" w:hanging="72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88943FA"/>
    <w:multiLevelType w:val="hybridMultilevel"/>
    <w:tmpl w:val="2D488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B54FC0"/>
    <w:multiLevelType w:val="hybridMultilevel"/>
    <w:tmpl w:val="99AE1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115C26"/>
    <w:multiLevelType w:val="multilevel"/>
    <w:tmpl w:val="CFA0A3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6954EE"/>
    <w:multiLevelType w:val="hybridMultilevel"/>
    <w:tmpl w:val="A1863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A17EEE"/>
    <w:multiLevelType w:val="hybridMultilevel"/>
    <w:tmpl w:val="A0C09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1D365D"/>
    <w:multiLevelType w:val="hybridMultilevel"/>
    <w:tmpl w:val="409AE466"/>
    <w:lvl w:ilvl="0" w:tplc="F2DEF1F6">
      <w:start w:val="1"/>
      <w:numFmt w:val="lowerLetter"/>
      <w:pStyle w:val="ListParagraph"/>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004AC"/>
    <w:multiLevelType w:val="hybridMultilevel"/>
    <w:tmpl w:val="E4B245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ADC7416"/>
    <w:multiLevelType w:val="hybridMultilevel"/>
    <w:tmpl w:val="6F020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6D2F11"/>
    <w:multiLevelType w:val="hybridMultilevel"/>
    <w:tmpl w:val="BD005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52577E"/>
    <w:multiLevelType w:val="hybridMultilevel"/>
    <w:tmpl w:val="9CC23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70296D"/>
    <w:multiLevelType w:val="hybridMultilevel"/>
    <w:tmpl w:val="B2B8F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4B6CE5"/>
    <w:multiLevelType w:val="hybridMultilevel"/>
    <w:tmpl w:val="9CAE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C6DF8"/>
    <w:multiLevelType w:val="hybridMultilevel"/>
    <w:tmpl w:val="31C6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D18F3"/>
    <w:multiLevelType w:val="multilevel"/>
    <w:tmpl w:val="0794F2C2"/>
    <w:lvl w:ilvl="0">
      <w:start w:val="1"/>
      <w:numFmt w:val="decimal"/>
      <w:lvlText w:val="%1."/>
      <w:lvlJc w:val="left"/>
      <w:pPr>
        <w:ind w:left="0" w:hanging="360"/>
      </w:pPr>
      <w:rPr>
        <w:rFonts w:hint="default"/>
      </w:rPr>
    </w:lvl>
    <w:lvl w:ilvl="1">
      <w:start w:val="2"/>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15" w15:restartNumberingAfterBreak="0">
    <w:nsid w:val="78D714CF"/>
    <w:multiLevelType w:val="hybridMultilevel"/>
    <w:tmpl w:val="03B80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0F7A92"/>
    <w:multiLevelType w:val="hybridMultilevel"/>
    <w:tmpl w:val="2B3028C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4"/>
  </w:num>
  <w:num w:numId="4">
    <w:abstractNumId w:val="1"/>
  </w:num>
  <w:num w:numId="5">
    <w:abstractNumId w:val="11"/>
  </w:num>
  <w:num w:numId="6">
    <w:abstractNumId w:val="5"/>
  </w:num>
  <w:num w:numId="7">
    <w:abstractNumId w:val="8"/>
  </w:num>
  <w:num w:numId="8">
    <w:abstractNumId w:val="15"/>
  </w:num>
  <w:num w:numId="9">
    <w:abstractNumId w:val="16"/>
  </w:num>
  <w:num w:numId="10">
    <w:abstractNumId w:val="7"/>
  </w:num>
  <w:num w:numId="11">
    <w:abstractNumId w:val="12"/>
  </w:num>
  <w:num w:numId="12">
    <w:abstractNumId w:val="2"/>
  </w:num>
  <w:num w:numId="13">
    <w:abstractNumId w:val="4"/>
  </w:num>
  <w:num w:numId="14">
    <w:abstractNumId w:val="13"/>
  </w:num>
  <w:num w:numId="15">
    <w:abstractNumId w:val="3"/>
  </w:num>
  <w:num w:numId="16">
    <w:abstractNumId w:val="10"/>
  </w:num>
  <w:num w:numId="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B6"/>
    <w:rsid w:val="000001AF"/>
    <w:rsid w:val="000008DC"/>
    <w:rsid w:val="00000D2C"/>
    <w:rsid w:val="000010CF"/>
    <w:rsid w:val="00001E48"/>
    <w:rsid w:val="00002123"/>
    <w:rsid w:val="000034EF"/>
    <w:rsid w:val="0000573E"/>
    <w:rsid w:val="00006986"/>
    <w:rsid w:val="0000760A"/>
    <w:rsid w:val="0000779F"/>
    <w:rsid w:val="00007B3B"/>
    <w:rsid w:val="00010D0D"/>
    <w:rsid w:val="00011100"/>
    <w:rsid w:val="00011817"/>
    <w:rsid w:val="00011EC3"/>
    <w:rsid w:val="000122A0"/>
    <w:rsid w:val="00012732"/>
    <w:rsid w:val="00013112"/>
    <w:rsid w:val="00013DC8"/>
    <w:rsid w:val="0001486B"/>
    <w:rsid w:val="00014E01"/>
    <w:rsid w:val="00014EEA"/>
    <w:rsid w:val="00015341"/>
    <w:rsid w:val="0001579A"/>
    <w:rsid w:val="00015871"/>
    <w:rsid w:val="00015F6D"/>
    <w:rsid w:val="0001703D"/>
    <w:rsid w:val="000171DA"/>
    <w:rsid w:val="000179FB"/>
    <w:rsid w:val="00020BD2"/>
    <w:rsid w:val="00021B6D"/>
    <w:rsid w:val="0002218B"/>
    <w:rsid w:val="0002227B"/>
    <w:rsid w:val="000225D9"/>
    <w:rsid w:val="00024E4B"/>
    <w:rsid w:val="0002504F"/>
    <w:rsid w:val="00025135"/>
    <w:rsid w:val="00025503"/>
    <w:rsid w:val="00026CED"/>
    <w:rsid w:val="00026ECB"/>
    <w:rsid w:val="00026F04"/>
    <w:rsid w:val="00027513"/>
    <w:rsid w:val="00032429"/>
    <w:rsid w:val="000324C1"/>
    <w:rsid w:val="0003299C"/>
    <w:rsid w:val="00032F12"/>
    <w:rsid w:val="00033D6E"/>
    <w:rsid w:val="00034074"/>
    <w:rsid w:val="00034A99"/>
    <w:rsid w:val="000354B5"/>
    <w:rsid w:val="00035A6B"/>
    <w:rsid w:val="0004063E"/>
    <w:rsid w:val="000407C0"/>
    <w:rsid w:val="00040BB5"/>
    <w:rsid w:val="00040DAB"/>
    <w:rsid w:val="000414EA"/>
    <w:rsid w:val="000415D6"/>
    <w:rsid w:val="000417ED"/>
    <w:rsid w:val="00042208"/>
    <w:rsid w:val="0004234A"/>
    <w:rsid w:val="00042CCE"/>
    <w:rsid w:val="00042CFA"/>
    <w:rsid w:val="000461DC"/>
    <w:rsid w:val="0004651E"/>
    <w:rsid w:val="000466DF"/>
    <w:rsid w:val="000467C2"/>
    <w:rsid w:val="00046A04"/>
    <w:rsid w:val="00046C4B"/>
    <w:rsid w:val="00046F0D"/>
    <w:rsid w:val="00047BF5"/>
    <w:rsid w:val="000507AC"/>
    <w:rsid w:val="00050C9D"/>
    <w:rsid w:val="00050F44"/>
    <w:rsid w:val="00052492"/>
    <w:rsid w:val="00053A77"/>
    <w:rsid w:val="00053BD2"/>
    <w:rsid w:val="0005468D"/>
    <w:rsid w:val="00054ABC"/>
    <w:rsid w:val="00054BD8"/>
    <w:rsid w:val="00054C5A"/>
    <w:rsid w:val="0005534E"/>
    <w:rsid w:val="0005554A"/>
    <w:rsid w:val="00055F60"/>
    <w:rsid w:val="00056007"/>
    <w:rsid w:val="000567C6"/>
    <w:rsid w:val="000578A1"/>
    <w:rsid w:val="00057ECC"/>
    <w:rsid w:val="000601B5"/>
    <w:rsid w:val="0006089D"/>
    <w:rsid w:val="00060A40"/>
    <w:rsid w:val="00060DF4"/>
    <w:rsid w:val="00061444"/>
    <w:rsid w:val="0006165D"/>
    <w:rsid w:val="00061895"/>
    <w:rsid w:val="000619D6"/>
    <w:rsid w:val="00061B03"/>
    <w:rsid w:val="00061B56"/>
    <w:rsid w:val="00062285"/>
    <w:rsid w:val="000623D7"/>
    <w:rsid w:val="00062A05"/>
    <w:rsid w:val="000630CB"/>
    <w:rsid w:val="000643AF"/>
    <w:rsid w:val="0006531E"/>
    <w:rsid w:val="00065C99"/>
    <w:rsid w:val="00066C90"/>
    <w:rsid w:val="00066D12"/>
    <w:rsid w:val="00070D97"/>
    <w:rsid w:val="00073187"/>
    <w:rsid w:val="00073922"/>
    <w:rsid w:val="00074854"/>
    <w:rsid w:val="00076191"/>
    <w:rsid w:val="00076329"/>
    <w:rsid w:val="0007656D"/>
    <w:rsid w:val="000769A3"/>
    <w:rsid w:val="00076E14"/>
    <w:rsid w:val="00076F1A"/>
    <w:rsid w:val="0007717B"/>
    <w:rsid w:val="0008111F"/>
    <w:rsid w:val="00081355"/>
    <w:rsid w:val="00081741"/>
    <w:rsid w:val="00081AE3"/>
    <w:rsid w:val="00082418"/>
    <w:rsid w:val="00082A78"/>
    <w:rsid w:val="00083C90"/>
    <w:rsid w:val="00083F58"/>
    <w:rsid w:val="00084115"/>
    <w:rsid w:val="0008437B"/>
    <w:rsid w:val="000857E6"/>
    <w:rsid w:val="000864B1"/>
    <w:rsid w:val="0008793C"/>
    <w:rsid w:val="000900CB"/>
    <w:rsid w:val="000901BA"/>
    <w:rsid w:val="00090441"/>
    <w:rsid w:val="00091450"/>
    <w:rsid w:val="00091B7A"/>
    <w:rsid w:val="000923C3"/>
    <w:rsid w:val="000923C6"/>
    <w:rsid w:val="00092DCD"/>
    <w:rsid w:val="00093061"/>
    <w:rsid w:val="00093C6A"/>
    <w:rsid w:val="00094772"/>
    <w:rsid w:val="00095872"/>
    <w:rsid w:val="00095A54"/>
    <w:rsid w:val="00095BE0"/>
    <w:rsid w:val="00095F01"/>
    <w:rsid w:val="000968E1"/>
    <w:rsid w:val="000975F5"/>
    <w:rsid w:val="00097A28"/>
    <w:rsid w:val="000A0174"/>
    <w:rsid w:val="000A0283"/>
    <w:rsid w:val="000A0CC0"/>
    <w:rsid w:val="000A0CD3"/>
    <w:rsid w:val="000A1CB0"/>
    <w:rsid w:val="000A21B6"/>
    <w:rsid w:val="000A25E2"/>
    <w:rsid w:val="000A2C51"/>
    <w:rsid w:val="000A3A99"/>
    <w:rsid w:val="000A3C6B"/>
    <w:rsid w:val="000A514B"/>
    <w:rsid w:val="000A544A"/>
    <w:rsid w:val="000A5459"/>
    <w:rsid w:val="000A5D5A"/>
    <w:rsid w:val="000A61B6"/>
    <w:rsid w:val="000A61C6"/>
    <w:rsid w:val="000A7404"/>
    <w:rsid w:val="000A7777"/>
    <w:rsid w:val="000A7906"/>
    <w:rsid w:val="000B0861"/>
    <w:rsid w:val="000B23FB"/>
    <w:rsid w:val="000B2E68"/>
    <w:rsid w:val="000B3118"/>
    <w:rsid w:val="000B324E"/>
    <w:rsid w:val="000B387D"/>
    <w:rsid w:val="000B4B60"/>
    <w:rsid w:val="000B54E1"/>
    <w:rsid w:val="000B78C2"/>
    <w:rsid w:val="000B7C0A"/>
    <w:rsid w:val="000B7DD5"/>
    <w:rsid w:val="000C176B"/>
    <w:rsid w:val="000C1B8A"/>
    <w:rsid w:val="000C352A"/>
    <w:rsid w:val="000C37C2"/>
    <w:rsid w:val="000C417B"/>
    <w:rsid w:val="000C41E2"/>
    <w:rsid w:val="000C4363"/>
    <w:rsid w:val="000C53A7"/>
    <w:rsid w:val="000C6439"/>
    <w:rsid w:val="000C66D0"/>
    <w:rsid w:val="000C6CB9"/>
    <w:rsid w:val="000C7180"/>
    <w:rsid w:val="000C7571"/>
    <w:rsid w:val="000C7E04"/>
    <w:rsid w:val="000D02F6"/>
    <w:rsid w:val="000D0914"/>
    <w:rsid w:val="000D13A9"/>
    <w:rsid w:val="000D15C4"/>
    <w:rsid w:val="000D3BF4"/>
    <w:rsid w:val="000D4C62"/>
    <w:rsid w:val="000D4D56"/>
    <w:rsid w:val="000D50AA"/>
    <w:rsid w:val="000D66BB"/>
    <w:rsid w:val="000D68A5"/>
    <w:rsid w:val="000D6C25"/>
    <w:rsid w:val="000D6E63"/>
    <w:rsid w:val="000D7CEF"/>
    <w:rsid w:val="000E028C"/>
    <w:rsid w:val="000E0B92"/>
    <w:rsid w:val="000E13C1"/>
    <w:rsid w:val="000E1886"/>
    <w:rsid w:val="000E1A64"/>
    <w:rsid w:val="000E1E8D"/>
    <w:rsid w:val="000E2B74"/>
    <w:rsid w:val="000E344E"/>
    <w:rsid w:val="000E35F4"/>
    <w:rsid w:val="000E37C3"/>
    <w:rsid w:val="000E3A96"/>
    <w:rsid w:val="000E3E89"/>
    <w:rsid w:val="000E402C"/>
    <w:rsid w:val="000E48FD"/>
    <w:rsid w:val="000E4976"/>
    <w:rsid w:val="000E4A9F"/>
    <w:rsid w:val="000E4B07"/>
    <w:rsid w:val="000E5F8A"/>
    <w:rsid w:val="000E6314"/>
    <w:rsid w:val="000E6399"/>
    <w:rsid w:val="000E732F"/>
    <w:rsid w:val="000E7704"/>
    <w:rsid w:val="000F0A15"/>
    <w:rsid w:val="000F0DCF"/>
    <w:rsid w:val="000F106B"/>
    <w:rsid w:val="000F12BF"/>
    <w:rsid w:val="000F21B5"/>
    <w:rsid w:val="000F331C"/>
    <w:rsid w:val="000F41B3"/>
    <w:rsid w:val="000F4332"/>
    <w:rsid w:val="000F4776"/>
    <w:rsid w:val="000F4B4E"/>
    <w:rsid w:val="000F50DF"/>
    <w:rsid w:val="000F5713"/>
    <w:rsid w:val="000F5D76"/>
    <w:rsid w:val="000F685B"/>
    <w:rsid w:val="000F698B"/>
    <w:rsid w:val="000F74BE"/>
    <w:rsid w:val="00100927"/>
    <w:rsid w:val="00100A35"/>
    <w:rsid w:val="00101695"/>
    <w:rsid w:val="00102C75"/>
    <w:rsid w:val="00103975"/>
    <w:rsid w:val="00103FBE"/>
    <w:rsid w:val="001040D7"/>
    <w:rsid w:val="00104106"/>
    <w:rsid w:val="0010488C"/>
    <w:rsid w:val="001049AF"/>
    <w:rsid w:val="0010597D"/>
    <w:rsid w:val="00106770"/>
    <w:rsid w:val="00107474"/>
    <w:rsid w:val="00107E8F"/>
    <w:rsid w:val="001104B5"/>
    <w:rsid w:val="001109C8"/>
    <w:rsid w:val="00110F50"/>
    <w:rsid w:val="00111302"/>
    <w:rsid w:val="00111902"/>
    <w:rsid w:val="00111D70"/>
    <w:rsid w:val="001132C4"/>
    <w:rsid w:val="00113992"/>
    <w:rsid w:val="00114D48"/>
    <w:rsid w:val="001153C9"/>
    <w:rsid w:val="00115A17"/>
    <w:rsid w:val="0011629E"/>
    <w:rsid w:val="00116634"/>
    <w:rsid w:val="00116E0F"/>
    <w:rsid w:val="001202B8"/>
    <w:rsid w:val="001204C1"/>
    <w:rsid w:val="00120C7C"/>
    <w:rsid w:val="00123D26"/>
    <w:rsid w:val="00124E35"/>
    <w:rsid w:val="00124F5E"/>
    <w:rsid w:val="0012526F"/>
    <w:rsid w:val="00125319"/>
    <w:rsid w:val="001261BB"/>
    <w:rsid w:val="001278C3"/>
    <w:rsid w:val="00130FAA"/>
    <w:rsid w:val="0013147F"/>
    <w:rsid w:val="00132554"/>
    <w:rsid w:val="0013334A"/>
    <w:rsid w:val="0013377A"/>
    <w:rsid w:val="00133E86"/>
    <w:rsid w:val="00134CB2"/>
    <w:rsid w:val="00135B1E"/>
    <w:rsid w:val="0013659B"/>
    <w:rsid w:val="001367DD"/>
    <w:rsid w:val="00137157"/>
    <w:rsid w:val="00137468"/>
    <w:rsid w:val="00137F64"/>
    <w:rsid w:val="00140517"/>
    <w:rsid w:val="00142101"/>
    <w:rsid w:val="001434B7"/>
    <w:rsid w:val="00143670"/>
    <w:rsid w:val="001436DB"/>
    <w:rsid w:val="0014374B"/>
    <w:rsid w:val="0014556C"/>
    <w:rsid w:val="00145916"/>
    <w:rsid w:val="0014595E"/>
    <w:rsid w:val="001459A9"/>
    <w:rsid w:val="00146098"/>
    <w:rsid w:val="001473A7"/>
    <w:rsid w:val="00150C98"/>
    <w:rsid w:val="00151148"/>
    <w:rsid w:val="001512D6"/>
    <w:rsid w:val="0015190C"/>
    <w:rsid w:val="0015214B"/>
    <w:rsid w:val="001531DA"/>
    <w:rsid w:val="00153578"/>
    <w:rsid w:val="00153903"/>
    <w:rsid w:val="00154B1B"/>
    <w:rsid w:val="00154CEB"/>
    <w:rsid w:val="00155415"/>
    <w:rsid w:val="0015599A"/>
    <w:rsid w:val="001573C5"/>
    <w:rsid w:val="001577B4"/>
    <w:rsid w:val="00160C96"/>
    <w:rsid w:val="0016118E"/>
    <w:rsid w:val="001636C3"/>
    <w:rsid w:val="001640F4"/>
    <w:rsid w:val="001648AB"/>
    <w:rsid w:val="0016520A"/>
    <w:rsid w:val="0016743D"/>
    <w:rsid w:val="001700CA"/>
    <w:rsid w:val="001703B7"/>
    <w:rsid w:val="00170C37"/>
    <w:rsid w:val="00170D9C"/>
    <w:rsid w:val="00171250"/>
    <w:rsid w:val="001713DB"/>
    <w:rsid w:val="00171F05"/>
    <w:rsid w:val="00171F49"/>
    <w:rsid w:val="00172B83"/>
    <w:rsid w:val="00173581"/>
    <w:rsid w:val="00174B16"/>
    <w:rsid w:val="0017565E"/>
    <w:rsid w:val="0017575A"/>
    <w:rsid w:val="00175CD9"/>
    <w:rsid w:val="00176178"/>
    <w:rsid w:val="00176C72"/>
    <w:rsid w:val="00177BB9"/>
    <w:rsid w:val="00180480"/>
    <w:rsid w:val="00181747"/>
    <w:rsid w:val="00181CFF"/>
    <w:rsid w:val="00181D35"/>
    <w:rsid w:val="00182191"/>
    <w:rsid w:val="00182CAB"/>
    <w:rsid w:val="001831E5"/>
    <w:rsid w:val="00187E05"/>
    <w:rsid w:val="001902A9"/>
    <w:rsid w:val="00190B54"/>
    <w:rsid w:val="00192641"/>
    <w:rsid w:val="001928ED"/>
    <w:rsid w:val="0019294A"/>
    <w:rsid w:val="00192D70"/>
    <w:rsid w:val="00193353"/>
    <w:rsid w:val="001939C1"/>
    <w:rsid w:val="00193B86"/>
    <w:rsid w:val="00193C11"/>
    <w:rsid w:val="001940D2"/>
    <w:rsid w:val="001947A7"/>
    <w:rsid w:val="0019492C"/>
    <w:rsid w:val="00194A4E"/>
    <w:rsid w:val="00194C7A"/>
    <w:rsid w:val="00194F59"/>
    <w:rsid w:val="001958F4"/>
    <w:rsid w:val="0019727C"/>
    <w:rsid w:val="00197C4F"/>
    <w:rsid w:val="001A0271"/>
    <w:rsid w:val="001A0802"/>
    <w:rsid w:val="001A3439"/>
    <w:rsid w:val="001A3649"/>
    <w:rsid w:val="001A3B9B"/>
    <w:rsid w:val="001A4AFE"/>
    <w:rsid w:val="001A4CFB"/>
    <w:rsid w:val="001A4F95"/>
    <w:rsid w:val="001A6070"/>
    <w:rsid w:val="001A61A5"/>
    <w:rsid w:val="001B0951"/>
    <w:rsid w:val="001B0954"/>
    <w:rsid w:val="001B0EF6"/>
    <w:rsid w:val="001B1A45"/>
    <w:rsid w:val="001B31B8"/>
    <w:rsid w:val="001B33FE"/>
    <w:rsid w:val="001B3549"/>
    <w:rsid w:val="001B3824"/>
    <w:rsid w:val="001B3DB8"/>
    <w:rsid w:val="001B4935"/>
    <w:rsid w:val="001B67F3"/>
    <w:rsid w:val="001B7168"/>
    <w:rsid w:val="001B7D29"/>
    <w:rsid w:val="001C06CC"/>
    <w:rsid w:val="001C0996"/>
    <w:rsid w:val="001C09D0"/>
    <w:rsid w:val="001C0B10"/>
    <w:rsid w:val="001C0F12"/>
    <w:rsid w:val="001C128E"/>
    <w:rsid w:val="001C297A"/>
    <w:rsid w:val="001C2A2F"/>
    <w:rsid w:val="001C39A6"/>
    <w:rsid w:val="001C3B6E"/>
    <w:rsid w:val="001C44AB"/>
    <w:rsid w:val="001C583D"/>
    <w:rsid w:val="001C6946"/>
    <w:rsid w:val="001C69DC"/>
    <w:rsid w:val="001C6A17"/>
    <w:rsid w:val="001C6BCC"/>
    <w:rsid w:val="001C7F07"/>
    <w:rsid w:val="001D033E"/>
    <w:rsid w:val="001D1815"/>
    <w:rsid w:val="001D1C0E"/>
    <w:rsid w:val="001D204C"/>
    <w:rsid w:val="001D2A7A"/>
    <w:rsid w:val="001D2E8E"/>
    <w:rsid w:val="001D42D4"/>
    <w:rsid w:val="001D4E94"/>
    <w:rsid w:val="001D4EF5"/>
    <w:rsid w:val="001D5071"/>
    <w:rsid w:val="001D51B9"/>
    <w:rsid w:val="001D655B"/>
    <w:rsid w:val="001D7B22"/>
    <w:rsid w:val="001E0754"/>
    <w:rsid w:val="001E0ADE"/>
    <w:rsid w:val="001E0AE3"/>
    <w:rsid w:val="001E15D7"/>
    <w:rsid w:val="001E1652"/>
    <w:rsid w:val="001E1688"/>
    <w:rsid w:val="001E2268"/>
    <w:rsid w:val="001E3016"/>
    <w:rsid w:val="001E3513"/>
    <w:rsid w:val="001E3EB2"/>
    <w:rsid w:val="001E4097"/>
    <w:rsid w:val="001E418D"/>
    <w:rsid w:val="001E4F25"/>
    <w:rsid w:val="001E53BC"/>
    <w:rsid w:val="001E57D3"/>
    <w:rsid w:val="001E6013"/>
    <w:rsid w:val="001E6A07"/>
    <w:rsid w:val="001E6CA2"/>
    <w:rsid w:val="001E6D2A"/>
    <w:rsid w:val="001E75A1"/>
    <w:rsid w:val="001E7A6B"/>
    <w:rsid w:val="001E7B16"/>
    <w:rsid w:val="001F048F"/>
    <w:rsid w:val="001F07A0"/>
    <w:rsid w:val="001F2D53"/>
    <w:rsid w:val="001F304C"/>
    <w:rsid w:val="001F38CA"/>
    <w:rsid w:val="001F3FD7"/>
    <w:rsid w:val="001F46BD"/>
    <w:rsid w:val="001F53B3"/>
    <w:rsid w:val="001F56B7"/>
    <w:rsid w:val="002009EC"/>
    <w:rsid w:val="002010BE"/>
    <w:rsid w:val="00201675"/>
    <w:rsid w:val="00201758"/>
    <w:rsid w:val="00201776"/>
    <w:rsid w:val="00201EE9"/>
    <w:rsid w:val="002025BE"/>
    <w:rsid w:val="00202CBB"/>
    <w:rsid w:val="002044DB"/>
    <w:rsid w:val="0020662F"/>
    <w:rsid w:val="00206F05"/>
    <w:rsid w:val="00207233"/>
    <w:rsid w:val="002076B7"/>
    <w:rsid w:val="00210180"/>
    <w:rsid w:val="0021020C"/>
    <w:rsid w:val="00210639"/>
    <w:rsid w:val="00212446"/>
    <w:rsid w:val="00212C8C"/>
    <w:rsid w:val="002138B2"/>
    <w:rsid w:val="00214B30"/>
    <w:rsid w:val="00214D35"/>
    <w:rsid w:val="002154AB"/>
    <w:rsid w:val="002159B6"/>
    <w:rsid w:val="002164DC"/>
    <w:rsid w:val="00216BB5"/>
    <w:rsid w:val="002170B1"/>
    <w:rsid w:val="002170CE"/>
    <w:rsid w:val="00217919"/>
    <w:rsid w:val="00217E56"/>
    <w:rsid w:val="00217E63"/>
    <w:rsid w:val="00220084"/>
    <w:rsid w:val="0022013F"/>
    <w:rsid w:val="002203F2"/>
    <w:rsid w:val="00220706"/>
    <w:rsid w:val="002209D7"/>
    <w:rsid w:val="00220FB4"/>
    <w:rsid w:val="0022116F"/>
    <w:rsid w:val="002216C6"/>
    <w:rsid w:val="00222A23"/>
    <w:rsid w:val="00222E25"/>
    <w:rsid w:val="00223F27"/>
    <w:rsid w:val="00224151"/>
    <w:rsid w:val="00224583"/>
    <w:rsid w:val="00225D38"/>
    <w:rsid w:val="0022670D"/>
    <w:rsid w:val="00230ABB"/>
    <w:rsid w:val="00230F25"/>
    <w:rsid w:val="002315FE"/>
    <w:rsid w:val="00231938"/>
    <w:rsid w:val="0023201B"/>
    <w:rsid w:val="002320D3"/>
    <w:rsid w:val="00232201"/>
    <w:rsid w:val="002324FD"/>
    <w:rsid w:val="00233105"/>
    <w:rsid w:val="00235761"/>
    <w:rsid w:val="002358F8"/>
    <w:rsid w:val="00236039"/>
    <w:rsid w:val="00236255"/>
    <w:rsid w:val="00236620"/>
    <w:rsid w:val="00236873"/>
    <w:rsid w:val="00237F3A"/>
    <w:rsid w:val="002419B0"/>
    <w:rsid w:val="00242BD8"/>
    <w:rsid w:val="00242C12"/>
    <w:rsid w:val="00242F4B"/>
    <w:rsid w:val="00243037"/>
    <w:rsid w:val="00243165"/>
    <w:rsid w:val="00243FA9"/>
    <w:rsid w:val="00244521"/>
    <w:rsid w:val="002449AF"/>
    <w:rsid w:val="00244EFA"/>
    <w:rsid w:val="00244FD0"/>
    <w:rsid w:val="0024780F"/>
    <w:rsid w:val="00250645"/>
    <w:rsid w:val="002506F9"/>
    <w:rsid w:val="00251A98"/>
    <w:rsid w:val="00252689"/>
    <w:rsid w:val="00252AD7"/>
    <w:rsid w:val="00252F9D"/>
    <w:rsid w:val="00253BA0"/>
    <w:rsid w:val="002544CF"/>
    <w:rsid w:val="00254CD7"/>
    <w:rsid w:val="00254D2D"/>
    <w:rsid w:val="00254E4F"/>
    <w:rsid w:val="0025579B"/>
    <w:rsid w:val="00255EEB"/>
    <w:rsid w:val="002562C2"/>
    <w:rsid w:val="002563C1"/>
    <w:rsid w:val="00256C21"/>
    <w:rsid w:val="00257046"/>
    <w:rsid w:val="00260097"/>
    <w:rsid w:val="00261CC2"/>
    <w:rsid w:val="00263157"/>
    <w:rsid w:val="002635D6"/>
    <w:rsid w:val="00263D93"/>
    <w:rsid w:val="002647A8"/>
    <w:rsid w:val="00265233"/>
    <w:rsid w:val="00265979"/>
    <w:rsid w:val="00265A13"/>
    <w:rsid w:val="00265BF6"/>
    <w:rsid w:val="002662EE"/>
    <w:rsid w:val="00266AC5"/>
    <w:rsid w:val="00266C61"/>
    <w:rsid w:val="0027038A"/>
    <w:rsid w:val="002703A8"/>
    <w:rsid w:val="00270BD9"/>
    <w:rsid w:val="00270BFB"/>
    <w:rsid w:val="00270D46"/>
    <w:rsid w:val="002714CF"/>
    <w:rsid w:val="0027262E"/>
    <w:rsid w:val="00273696"/>
    <w:rsid w:val="00273984"/>
    <w:rsid w:val="00274089"/>
    <w:rsid w:val="00274E25"/>
    <w:rsid w:val="00274FD3"/>
    <w:rsid w:val="00274FD5"/>
    <w:rsid w:val="0027652E"/>
    <w:rsid w:val="00276A79"/>
    <w:rsid w:val="00277D6A"/>
    <w:rsid w:val="00277E62"/>
    <w:rsid w:val="00280718"/>
    <w:rsid w:val="00280B8B"/>
    <w:rsid w:val="002811C2"/>
    <w:rsid w:val="00281438"/>
    <w:rsid w:val="00281F79"/>
    <w:rsid w:val="00282193"/>
    <w:rsid w:val="00282CB8"/>
    <w:rsid w:val="002833E3"/>
    <w:rsid w:val="00284052"/>
    <w:rsid w:val="002841CA"/>
    <w:rsid w:val="00284545"/>
    <w:rsid w:val="00284A12"/>
    <w:rsid w:val="00284BED"/>
    <w:rsid w:val="002856F5"/>
    <w:rsid w:val="0028704E"/>
    <w:rsid w:val="002877FF"/>
    <w:rsid w:val="00287A23"/>
    <w:rsid w:val="00287B49"/>
    <w:rsid w:val="00287DA1"/>
    <w:rsid w:val="00290705"/>
    <w:rsid w:val="00290828"/>
    <w:rsid w:val="0029130D"/>
    <w:rsid w:val="00292759"/>
    <w:rsid w:val="00292B37"/>
    <w:rsid w:val="00292C50"/>
    <w:rsid w:val="00292D2B"/>
    <w:rsid w:val="00293377"/>
    <w:rsid w:val="002935B0"/>
    <w:rsid w:val="00294134"/>
    <w:rsid w:val="0029450E"/>
    <w:rsid w:val="00294C03"/>
    <w:rsid w:val="00295B09"/>
    <w:rsid w:val="00295F0B"/>
    <w:rsid w:val="00296130"/>
    <w:rsid w:val="00297AEF"/>
    <w:rsid w:val="00297D3D"/>
    <w:rsid w:val="002A0A99"/>
    <w:rsid w:val="002A0F32"/>
    <w:rsid w:val="002A1351"/>
    <w:rsid w:val="002A1A8B"/>
    <w:rsid w:val="002A2E0A"/>
    <w:rsid w:val="002A2FF8"/>
    <w:rsid w:val="002A3464"/>
    <w:rsid w:val="002A3884"/>
    <w:rsid w:val="002A3E17"/>
    <w:rsid w:val="002A5E52"/>
    <w:rsid w:val="002A61B1"/>
    <w:rsid w:val="002A6307"/>
    <w:rsid w:val="002A65E1"/>
    <w:rsid w:val="002A6C90"/>
    <w:rsid w:val="002A6F91"/>
    <w:rsid w:val="002A7349"/>
    <w:rsid w:val="002A7BF0"/>
    <w:rsid w:val="002B00AF"/>
    <w:rsid w:val="002B0877"/>
    <w:rsid w:val="002B0EE9"/>
    <w:rsid w:val="002B20D8"/>
    <w:rsid w:val="002B2AF4"/>
    <w:rsid w:val="002B2F4D"/>
    <w:rsid w:val="002B3D83"/>
    <w:rsid w:val="002B40A4"/>
    <w:rsid w:val="002B46FF"/>
    <w:rsid w:val="002B475B"/>
    <w:rsid w:val="002B4806"/>
    <w:rsid w:val="002B4944"/>
    <w:rsid w:val="002B6DFD"/>
    <w:rsid w:val="002C01A3"/>
    <w:rsid w:val="002C06CB"/>
    <w:rsid w:val="002C2614"/>
    <w:rsid w:val="002C31E9"/>
    <w:rsid w:val="002C3D35"/>
    <w:rsid w:val="002C4175"/>
    <w:rsid w:val="002C4BDE"/>
    <w:rsid w:val="002C4EDC"/>
    <w:rsid w:val="002C51A3"/>
    <w:rsid w:val="002C5218"/>
    <w:rsid w:val="002C54DC"/>
    <w:rsid w:val="002C6323"/>
    <w:rsid w:val="002C73E9"/>
    <w:rsid w:val="002D119E"/>
    <w:rsid w:val="002D2165"/>
    <w:rsid w:val="002D2428"/>
    <w:rsid w:val="002D3E7C"/>
    <w:rsid w:val="002D4FA9"/>
    <w:rsid w:val="002D5012"/>
    <w:rsid w:val="002D56AD"/>
    <w:rsid w:val="002D5924"/>
    <w:rsid w:val="002D5977"/>
    <w:rsid w:val="002D5FEC"/>
    <w:rsid w:val="002D684E"/>
    <w:rsid w:val="002D6A9D"/>
    <w:rsid w:val="002D6C91"/>
    <w:rsid w:val="002D6EF4"/>
    <w:rsid w:val="002D7307"/>
    <w:rsid w:val="002D7A07"/>
    <w:rsid w:val="002E0C79"/>
    <w:rsid w:val="002E1C61"/>
    <w:rsid w:val="002E1C92"/>
    <w:rsid w:val="002E1D17"/>
    <w:rsid w:val="002E3BBA"/>
    <w:rsid w:val="002E43A8"/>
    <w:rsid w:val="002E517D"/>
    <w:rsid w:val="002E521E"/>
    <w:rsid w:val="002E5939"/>
    <w:rsid w:val="002E6178"/>
    <w:rsid w:val="002E6462"/>
    <w:rsid w:val="002E7283"/>
    <w:rsid w:val="002E73A1"/>
    <w:rsid w:val="002E75DC"/>
    <w:rsid w:val="002F075A"/>
    <w:rsid w:val="002F1FF7"/>
    <w:rsid w:val="002F25E2"/>
    <w:rsid w:val="002F25F3"/>
    <w:rsid w:val="002F2C2F"/>
    <w:rsid w:val="002F2D92"/>
    <w:rsid w:val="002F3197"/>
    <w:rsid w:val="002F3499"/>
    <w:rsid w:val="002F351D"/>
    <w:rsid w:val="002F4298"/>
    <w:rsid w:val="002F4BB3"/>
    <w:rsid w:val="002F642E"/>
    <w:rsid w:val="002F7483"/>
    <w:rsid w:val="00300020"/>
    <w:rsid w:val="0030028B"/>
    <w:rsid w:val="00300C8E"/>
    <w:rsid w:val="00301FA6"/>
    <w:rsid w:val="003022A4"/>
    <w:rsid w:val="003024C8"/>
    <w:rsid w:val="0030341C"/>
    <w:rsid w:val="00303BD6"/>
    <w:rsid w:val="00303C45"/>
    <w:rsid w:val="003043C1"/>
    <w:rsid w:val="00304403"/>
    <w:rsid w:val="00304D05"/>
    <w:rsid w:val="003056A1"/>
    <w:rsid w:val="003077E0"/>
    <w:rsid w:val="00307F23"/>
    <w:rsid w:val="003116F9"/>
    <w:rsid w:val="00311AC3"/>
    <w:rsid w:val="00312777"/>
    <w:rsid w:val="0031367B"/>
    <w:rsid w:val="00313B6B"/>
    <w:rsid w:val="00313F78"/>
    <w:rsid w:val="00314210"/>
    <w:rsid w:val="003146FB"/>
    <w:rsid w:val="00315264"/>
    <w:rsid w:val="003156F8"/>
    <w:rsid w:val="00315F54"/>
    <w:rsid w:val="00316450"/>
    <w:rsid w:val="003166C4"/>
    <w:rsid w:val="00317E02"/>
    <w:rsid w:val="00321182"/>
    <w:rsid w:val="003219C2"/>
    <w:rsid w:val="00321CB6"/>
    <w:rsid w:val="00321E1F"/>
    <w:rsid w:val="003247AC"/>
    <w:rsid w:val="00324BC8"/>
    <w:rsid w:val="00325210"/>
    <w:rsid w:val="003257FB"/>
    <w:rsid w:val="00325914"/>
    <w:rsid w:val="00326126"/>
    <w:rsid w:val="0032647D"/>
    <w:rsid w:val="0033024D"/>
    <w:rsid w:val="00330CD7"/>
    <w:rsid w:val="00331B73"/>
    <w:rsid w:val="003321A8"/>
    <w:rsid w:val="00332CB6"/>
    <w:rsid w:val="00332E03"/>
    <w:rsid w:val="0033470D"/>
    <w:rsid w:val="0033477D"/>
    <w:rsid w:val="00335A85"/>
    <w:rsid w:val="00335D15"/>
    <w:rsid w:val="00335EA9"/>
    <w:rsid w:val="00336AFD"/>
    <w:rsid w:val="003375B2"/>
    <w:rsid w:val="00337732"/>
    <w:rsid w:val="0033783B"/>
    <w:rsid w:val="00337B5E"/>
    <w:rsid w:val="003400DB"/>
    <w:rsid w:val="00340F93"/>
    <w:rsid w:val="00341296"/>
    <w:rsid w:val="003412A0"/>
    <w:rsid w:val="003417D0"/>
    <w:rsid w:val="00341F90"/>
    <w:rsid w:val="00342231"/>
    <w:rsid w:val="00342F20"/>
    <w:rsid w:val="00344063"/>
    <w:rsid w:val="0034457B"/>
    <w:rsid w:val="00345CFD"/>
    <w:rsid w:val="00346AEC"/>
    <w:rsid w:val="00346B2F"/>
    <w:rsid w:val="0034736F"/>
    <w:rsid w:val="00347BA6"/>
    <w:rsid w:val="00347F3A"/>
    <w:rsid w:val="0035032C"/>
    <w:rsid w:val="00351D04"/>
    <w:rsid w:val="00352801"/>
    <w:rsid w:val="00352E5A"/>
    <w:rsid w:val="00354449"/>
    <w:rsid w:val="00355CB5"/>
    <w:rsid w:val="00357285"/>
    <w:rsid w:val="00357593"/>
    <w:rsid w:val="00357655"/>
    <w:rsid w:val="00357971"/>
    <w:rsid w:val="00360803"/>
    <w:rsid w:val="003610D6"/>
    <w:rsid w:val="00361630"/>
    <w:rsid w:val="00361690"/>
    <w:rsid w:val="0036172E"/>
    <w:rsid w:val="00361FB6"/>
    <w:rsid w:val="003620DD"/>
    <w:rsid w:val="00362870"/>
    <w:rsid w:val="00362F76"/>
    <w:rsid w:val="00363250"/>
    <w:rsid w:val="00363BC7"/>
    <w:rsid w:val="00364740"/>
    <w:rsid w:val="00364A8A"/>
    <w:rsid w:val="00364E53"/>
    <w:rsid w:val="0036501D"/>
    <w:rsid w:val="00366555"/>
    <w:rsid w:val="0036731A"/>
    <w:rsid w:val="00367ED2"/>
    <w:rsid w:val="0037004D"/>
    <w:rsid w:val="0037051D"/>
    <w:rsid w:val="003706E4"/>
    <w:rsid w:val="00370757"/>
    <w:rsid w:val="00370CAC"/>
    <w:rsid w:val="00371686"/>
    <w:rsid w:val="00371B11"/>
    <w:rsid w:val="0037208C"/>
    <w:rsid w:val="00372EE8"/>
    <w:rsid w:val="00372F47"/>
    <w:rsid w:val="0037322B"/>
    <w:rsid w:val="00373696"/>
    <w:rsid w:val="00374485"/>
    <w:rsid w:val="00374CBE"/>
    <w:rsid w:val="003752BB"/>
    <w:rsid w:val="00375CBA"/>
    <w:rsid w:val="00376427"/>
    <w:rsid w:val="00376BCF"/>
    <w:rsid w:val="00377C5E"/>
    <w:rsid w:val="00380DC1"/>
    <w:rsid w:val="0038115D"/>
    <w:rsid w:val="00381BBE"/>
    <w:rsid w:val="00381D8A"/>
    <w:rsid w:val="00382551"/>
    <w:rsid w:val="0038329A"/>
    <w:rsid w:val="0038385A"/>
    <w:rsid w:val="00383985"/>
    <w:rsid w:val="00383CE7"/>
    <w:rsid w:val="003848A8"/>
    <w:rsid w:val="0038506E"/>
    <w:rsid w:val="00385528"/>
    <w:rsid w:val="00385EF5"/>
    <w:rsid w:val="003869F4"/>
    <w:rsid w:val="00386D14"/>
    <w:rsid w:val="0038726A"/>
    <w:rsid w:val="00387662"/>
    <w:rsid w:val="003902A2"/>
    <w:rsid w:val="003913E4"/>
    <w:rsid w:val="00392552"/>
    <w:rsid w:val="0039298C"/>
    <w:rsid w:val="00392E32"/>
    <w:rsid w:val="00393C6A"/>
    <w:rsid w:val="003946CC"/>
    <w:rsid w:val="00396F0A"/>
    <w:rsid w:val="003974F4"/>
    <w:rsid w:val="00397B76"/>
    <w:rsid w:val="003A0180"/>
    <w:rsid w:val="003A0776"/>
    <w:rsid w:val="003A0838"/>
    <w:rsid w:val="003A0B8C"/>
    <w:rsid w:val="003A0E7B"/>
    <w:rsid w:val="003A1EBB"/>
    <w:rsid w:val="003A2149"/>
    <w:rsid w:val="003A2F2B"/>
    <w:rsid w:val="003A3455"/>
    <w:rsid w:val="003A3A95"/>
    <w:rsid w:val="003A442A"/>
    <w:rsid w:val="003A46E7"/>
    <w:rsid w:val="003A4CCF"/>
    <w:rsid w:val="003A51BD"/>
    <w:rsid w:val="003A52F1"/>
    <w:rsid w:val="003A5D4A"/>
    <w:rsid w:val="003A629D"/>
    <w:rsid w:val="003A64F2"/>
    <w:rsid w:val="003A77D7"/>
    <w:rsid w:val="003B08A6"/>
    <w:rsid w:val="003B0A9B"/>
    <w:rsid w:val="003B0EF9"/>
    <w:rsid w:val="003B1325"/>
    <w:rsid w:val="003B16C0"/>
    <w:rsid w:val="003B16DD"/>
    <w:rsid w:val="003B16F4"/>
    <w:rsid w:val="003B1B18"/>
    <w:rsid w:val="003B1ECE"/>
    <w:rsid w:val="003B1FF2"/>
    <w:rsid w:val="003B3855"/>
    <w:rsid w:val="003B42FE"/>
    <w:rsid w:val="003B52D2"/>
    <w:rsid w:val="003B554B"/>
    <w:rsid w:val="003B5632"/>
    <w:rsid w:val="003B57E7"/>
    <w:rsid w:val="003B5C6C"/>
    <w:rsid w:val="003B686C"/>
    <w:rsid w:val="003B702E"/>
    <w:rsid w:val="003B71B0"/>
    <w:rsid w:val="003B75DA"/>
    <w:rsid w:val="003B790A"/>
    <w:rsid w:val="003C079A"/>
    <w:rsid w:val="003C1733"/>
    <w:rsid w:val="003C183E"/>
    <w:rsid w:val="003C3F3D"/>
    <w:rsid w:val="003C41EF"/>
    <w:rsid w:val="003C75B7"/>
    <w:rsid w:val="003D19A6"/>
    <w:rsid w:val="003D1F0F"/>
    <w:rsid w:val="003D24E1"/>
    <w:rsid w:val="003D33A5"/>
    <w:rsid w:val="003D3D2F"/>
    <w:rsid w:val="003D4527"/>
    <w:rsid w:val="003D4949"/>
    <w:rsid w:val="003D5379"/>
    <w:rsid w:val="003D54E5"/>
    <w:rsid w:val="003D6DCC"/>
    <w:rsid w:val="003D6EC0"/>
    <w:rsid w:val="003D7063"/>
    <w:rsid w:val="003D7557"/>
    <w:rsid w:val="003D76FD"/>
    <w:rsid w:val="003E05AF"/>
    <w:rsid w:val="003E05E1"/>
    <w:rsid w:val="003E081A"/>
    <w:rsid w:val="003E1492"/>
    <w:rsid w:val="003E1E9F"/>
    <w:rsid w:val="003E2273"/>
    <w:rsid w:val="003E276A"/>
    <w:rsid w:val="003E28BC"/>
    <w:rsid w:val="003E2F10"/>
    <w:rsid w:val="003E4954"/>
    <w:rsid w:val="003E5946"/>
    <w:rsid w:val="003E5990"/>
    <w:rsid w:val="003E5D54"/>
    <w:rsid w:val="003E5E17"/>
    <w:rsid w:val="003E6B35"/>
    <w:rsid w:val="003F0471"/>
    <w:rsid w:val="003F0687"/>
    <w:rsid w:val="003F0859"/>
    <w:rsid w:val="003F1389"/>
    <w:rsid w:val="003F15DB"/>
    <w:rsid w:val="003F1ADA"/>
    <w:rsid w:val="003F1CA2"/>
    <w:rsid w:val="003F21CA"/>
    <w:rsid w:val="003F25F0"/>
    <w:rsid w:val="003F2A1A"/>
    <w:rsid w:val="003F311A"/>
    <w:rsid w:val="003F350F"/>
    <w:rsid w:val="003F3C73"/>
    <w:rsid w:val="003F3DE5"/>
    <w:rsid w:val="003F42E4"/>
    <w:rsid w:val="003F4EE1"/>
    <w:rsid w:val="003F66E3"/>
    <w:rsid w:val="003F6C28"/>
    <w:rsid w:val="003F73AE"/>
    <w:rsid w:val="00401161"/>
    <w:rsid w:val="00401DE7"/>
    <w:rsid w:val="00402EB1"/>
    <w:rsid w:val="00403228"/>
    <w:rsid w:val="00404293"/>
    <w:rsid w:val="00404C60"/>
    <w:rsid w:val="00404D57"/>
    <w:rsid w:val="00404EEE"/>
    <w:rsid w:val="004056D6"/>
    <w:rsid w:val="00405923"/>
    <w:rsid w:val="00405B21"/>
    <w:rsid w:val="00405C9E"/>
    <w:rsid w:val="00406159"/>
    <w:rsid w:val="0040693A"/>
    <w:rsid w:val="004078FD"/>
    <w:rsid w:val="00410516"/>
    <w:rsid w:val="0041084F"/>
    <w:rsid w:val="00410CE0"/>
    <w:rsid w:val="00410EE3"/>
    <w:rsid w:val="004114E7"/>
    <w:rsid w:val="00411A9A"/>
    <w:rsid w:val="00412096"/>
    <w:rsid w:val="00412427"/>
    <w:rsid w:val="0041245D"/>
    <w:rsid w:val="0041463A"/>
    <w:rsid w:val="00414C4B"/>
    <w:rsid w:val="00414CAC"/>
    <w:rsid w:val="004156F2"/>
    <w:rsid w:val="00415B6E"/>
    <w:rsid w:val="00415FC5"/>
    <w:rsid w:val="00416490"/>
    <w:rsid w:val="0042034A"/>
    <w:rsid w:val="00420D4A"/>
    <w:rsid w:val="00420E09"/>
    <w:rsid w:val="00420F5A"/>
    <w:rsid w:val="004213E3"/>
    <w:rsid w:val="00421489"/>
    <w:rsid w:val="004217A2"/>
    <w:rsid w:val="004224CD"/>
    <w:rsid w:val="0042298A"/>
    <w:rsid w:val="00422EF8"/>
    <w:rsid w:val="004238CA"/>
    <w:rsid w:val="00423D55"/>
    <w:rsid w:val="004249FC"/>
    <w:rsid w:val="00425FF4"/>
    <w:rsid w:val="004269AB"/>
    <w:rsid w:val="0042720F"/>
    <w:rsid w:val="0042753B"/>
    <w:rsid w:val="004279DD"/>
    <w:rsid w:val="004302CA"/>
    <w:rsid w:val="00430A4A"/>
    <w:rsid w:val="0043102A"/>
    <w:rsid w:val="004312F2"/>
    <w:rsid w:val="0043154B"/>
    <w:rsid w:val="00431D81"/>
    <w:rsid w:val="0043203D"/>
    <w:rsid w:val="0043208C"/>
    <w:rsid w:val="0043215E"/>
    <w:rsid w:val="004324B2"/>
    <w:rsid w:val="00433BE2"/>
    <w:rsid w:val="00433E20"/>
    <w:rsid w:val="004352EF"/>
    <w:rsid w:val="0043561A"/>
    <w:rsid w:val="00435811"/>
    <w:rsid w:val="0043599C"/>
    <w:rsid w:val="00435B72"/>
    <w:rsid w:val="00435FF5"/>
    <w:rsid w:val="00436037"/>
    <w:rsid w:val="004373C3"/>
    <w:rsid w:val="00437789"/>
    <w:rsid w:val="00437E06"/>
    <w:rsid w:val="004404C3"/>
    <w:rsid w:val="00440772"/>
    <w:rsid w:val="00440DCF"/>
    <w:rsid w:val="00440E7C"/>
    <w:rsid w:val="004414C6"/>
    <w:rsid w:val="00441989"/>
    <w:rsid w:val="0044259B"/>
    <w:rsid w:val="00442E2B"/>
    <w:rsid w:val="00443911"/>
    <w:rsid w:val="00443BA3"/>
    <w:rsid w:val="00445F74"/>
    <w:rsid w:val="004470A5"/>
    <w:rsid w:val="00450783"/>
    <w:rsid w:val="00451B5C"/>
    <w:rsid w:val="00451DCA"/>
    <w:rsid w:val="0045245B"/>
    <w:rsid w:val="0045345D"/>
    <w:rsid w:val="004535BA"/>
    <w:rsid w:val="00453F2B"/>
    <w:rsid w:val="004547EC"/>
    <w:rsid w:val="00454D5F"/>
    <w:rsid w:val="00454F77"/>
    <w:rsid w:val="004551D3"/>
    <w:rsid w:val="00457F8C"/>
    <w:rsid w:val="004605AE"/>
    <w:rsid w:val="00460874"/>
    <w:rsid w:val="004617AC"/>
    <w:rsid w:val="00461A76"/>
    <w:rsid w:val="00461C2F"/>
    <w:rsid w:val="00462663"/>
    <w:rsid w:val="0046345F"/>
    <w:rsid w:val="00463A16"/>
    <w:rsid w:val="00463A33"/>
    <w:rsid w:val="00465176"/>
    <w:rsid w:val="00466BC1"/>
    <w:rsid w:val="00466DF2"/>
    <w:rsid w:val="00467B55"/>
    <w:rsid w:val="00470911"/>
    <w:rsid w:val="00471684"/>
    <w:rsid w:val="004716DB"/>
    <w:rsid w:val="00471B8C"/>
    <w:rsid w:val="00471C82"/>
    <w:rsid w:val="00471F53"/>
    <w:rsid w:val="00472781"/>
    <w:rsid w:val="00473AB5"/>
    <w:rsid w:val="00475024"/>
    <w:rsid w:val="0047554A"/>
    <w:rsid w:val="00475A07"/>
    <w:rsid w:val="00475C54"/>
    <w:rsid w:val="00477847"/>
    <w:rsid w:val="004806F1"/>
    <w:rsid w:val="00480B0D"/>
    <w:rsid w:val="00480BFA"/>
    <w:rsid w:val="00481732"/>
    <w:rsid w:val="00481841"/>
    <w:rsid w:val="00481951"/>
    <w:rsid w:val="00481953"/>
    <w:rsid w:val="004823E3"/>
    <w:rsid w:val="0048256A"/>
    <w:rsid w:val="004827F3"/>
    <w:rsid w:val="00482CDC"/>
    <w:rsid w:val="00482D1A"/>
    <w:rsid w:val="00483A40"/>
    <w:rsid w:val="004841BD"/>
    <w:rsid w:val="00484295"/>
    <w:rsid w:val="00485023"/>
    <w:rsid w:val="00486497"/>
    <w:rsid w:val="0048730E"/>
    <w:rsid w:val="004876AA"/>
    <w:rsid w:val="0049007A"/>
    <w:rsid w:val="00490286"/>
    <w:rsid w:val="00490440"/>
    <w:rsid w:val="00490B58"/>
    <w:rsid w:val="00492D79"/>
    <w:rsid w:val="0049326D"/>
    <w:rsid w:val="0049442D"/>
    <w:rsid w:val="00494A9A"/>
    <w:rsid w:val="00494C2A"/>
    <w:rsid w:val="00495140"/>
    <w:rsid w:val="004954DD"/>
    <w:rsid w:val="004956D5"/>
    <w:rsid w:val="004958E3"/>
    <w:rsid w:val="00495E5D"/>
    <w:rsid w:val="0049602A"/>
    <w:rsid w:val="00496D0F"/>
    <w:rsid w:val="00497239"/>
    <w:rsid w:val="00497A1B"/>
    <w:rsid w:val="004A0371"/>
    <w:rsid w:val="004A107E"/>
    <w:rsid w:val="004A1593"/>
    <w:rsid w:val="004A195E"/>
    <w:rsid w:val="004A19CE"/>
    <w:rsid w:val="004A1BF2"/>
    <w:rsid w:val="004A2081"/>
    <w:rsid w:val="004A376B"/>
    <w:rsid w:val="004A3E84"/>
    <w:rsid w:val="004A3F4D"/>
    <w:rsid w:val="004A48E4"/>
    <w:rsid w:val="004A5494"/>
    <w:rsid w:val="004A5ADB"/>
    <w:rsid w:val="004A5BC4"/>
    <w:rsid w:val="004A7E26"/>
    <w:rsid w:val="004A7E73"/>
    <w:rsid w:val="004B0512"/>
    <w:rsid w:val="004B118D"/>
    <w:rsid w:val="004B14E7"/>
    <w:rsid w:val="004B1CCB"/>
    <w:rsid w:val="004B226B"/>
    <w:rsid w:val="004B2640"/>
    <w:rsid w:val="004B2960"/>
    <w:rsid w:val="004B2A52"/>
    <w:rsid w:val="004B30FB"/>
    <w:rsid w:val="004B3BAA"/>
    <w:rsid w:val="004B3BD8"/>
    <w:rsid w:val="004B3CB4"/>
    <w:rsid w:val="004B4847"/>
    <w:rsid w:val="004B4F37"/>
    <w:rsid w:val="004B6202"/>
    <w:rsid w:val="004B6A83"/>
    <w:rsid w:val="004B72E3"/>
    <w:rsid w:val="004B79AC"/>
    <w:rsid w:val="004B79F2"/>
    <w:rsid w:val="004B7B16"/>
    <w:rsid w:val="004C0132"/>
    <w:rsid w:val="004C11AB"/>
    <w:rsid w:val="004C11CF"/>
    <w:rsid w:val="004C2191"/>
    <w:rsid w:val="004C238C"/>
    <w:rsid w:val="004C2713"/>
    <w:rsid w:val="004C2983"/>
    <w:rsid w:val="004C3629"/>
    <w:rsid w:val="004C3953"/>
    <w:rsid w:val="004C3B40"/>
    <w:rsid w:val="004C3D4E"/>
    <w:rsid w:val="004C430D"/>
    <w:rsid w:val="004C476C"/>
    <w:rsid w:val="004C63E3"/>
    <w:rsid w:val="004C78B1"/>
    <w:rsid w:val="004C7E3D"/>
    <w:rsid w:val="004D0226"/>
    <w:rsid w:val="004D08A7"/>
    <w:rsid w:val="004D159B"/>
    <w:rsid w:val="004D18C8"/>
    <w:rsid w:val="004D2CC0"/>
    <w:rsid w:val="004D3431"/>
    <w:rsid w:val="004D4A90"/>
    <w:rsid w:val="004D6EA4"/>
    <w:rsid w:val="004E0720"/>
    <w:rsid w:val="004E16BD"/>
    <w:rsid w:val="004E29B9"/>
    <w:rsid w:val="004E2F24"/>
    <w:rsid w:val="004E31D5"/>
    <w:rsid w:val="004E378F"/>
    <w:rsid w:val="004E3C22"/>
    <w:rsid w:val="004E5389"/>
    <w:rsid w:val="004E606E"/>
    <w:rsid w:val="004E65B0"/>
    <w:rsid w:val="004E6C33"/>
    <w:rsid w:val="004F1374"/>
    <w:rsid w:val="004F3BC5"/>
    <w:rsid w:val="004F4358"/>
    <w:rsid w:val="004F44D9"/>
    <w:rsid w:val="004F4E3E"/>
    <w:rsid w:val="004F6042"/>
    <w:rsid w:val="004F78C1"/>
    <w:rsid w:val="0050003F"/>
    <w:rsid w:val="0050060E"/>
    <w:rsid w:val="00500C5D"/>
    <w:rsid w:val="00501D69"/>
    <w:rsid w:val="00503A33"/>
    <w:rsid w:val="00504D4A"/>
    <w:rsid w:val="005070D2"/>
    <w:rsid w:val="00507930"/>
    <w:rsid w:val="00507970"/>
    <w:rsid w:val="00511083"/>
    <w:rsid w:val="00512234"/>
    <w:rsid w:val="00512468"/>
    <w:rsid w:val="005132B6"/>
    <w:rsid w:val="00514FF6"/>
    <w:rsid w:val="0051541F"/>
    <w:rsid w:val="00516A92"/>
    <w:rsid w:val="00517881"/>
    <w:rsid w:val="00520B0E"/>
    <w:rsid w:val="00520BB1"/>
    <w:rsid w:val="00520E46"/>
    <w:rsid w:val="00521B38"/>
    <w:rsid w:val="00522476"/>
    <w:rsid w:val="005224D4"/>
    <w:rsid w:val="00525371"/>
    <w:rsid w:val="005261E0"/>
    <w:rsid w:val="00527A7A"/>
    <w:rsid w:val="00530139"/>
    <w:rsid w:val="00530FA2"/>
    <w:rsid w:val="00531101"/>
    <w:rsid w:val="00531B24"/>
    <w:rsid w:val="00531C81"/>
    <w:rsid w:val="00532ECF"/>
    <w:rsid w:val="0053314E"/>
    <w:rsid w:val="00534F0A"/>
    <w:rsid w:val="0053505C"/>
    <w:rsid w:val="00535194"/>
    <w:rsid w:val="00535BE0"/>
    <w:rsid w:val="00535CB1"/>
    <w:rsid w:val="00535F57"/>
    <w:rsid w:val="005364E9"/>
    <w:rsid w:val="00537E7E"/>
    <w:rsid w:val="00540953"/>
    <w:rsid w:val="00540CFB"/>
    <w:rsid w:val="005416C0"/>
    <w:rsid w:val="0054259A"/>
    <w:rsid w:val="00542772"/>
    <w:rsid w:val="005427E0"/>
    <w:rsid w:val="0054283C"/>
    <w:rsid w:val="0054383D"/>
    <w:rsid w:val="00543F07"/>
    <w:rsid w:val="005441E6"/>
    <w:rsid w:val="00545372"/>
    <w:rsid w:val="0054594E"/>
    <w:rsid w:val="00545F90"/>
    <w:rsid w:val="00546B58"/>
    <w:rsid w:val="00547141"/>
    <w:rsid w:val="005471F2"/>
    <w:rsid w:val="00547AA5"/>
    <w:rsid w:val="00547F4D"/>
    <w:rsid w:val="00550064"/>
    <w:rsid w:val="0055045E"/>
    <w:rsid w:val="00550669"/>
    <w:rsid w:val="00550BBD"/>
    <w:rsid w:val="00550F54"/>
    <w:rsid w:val="005515C3"/>
    <w:rsid w:val="00551A6E"/>
    <w:rsid w:val="00552FCA"/>
    <w:rsid w:val="00553353"/>
    <w:rsid w:val="00553491"/>
    <w:rsid w:val="00553B06"/>
    <w:rsid w:val="0055406E"/>
    <w:rsid w:val="00554B1B"/>
    <w:rsid w:val="00555743"/>
    <w:rsid w:val="00555931"/>
    <w:rsid w:val="00555B6F"/>
    <w:rsid w:val="00555E7E"/>
    <w:rsid w:val="005564FC"/>
    <w:rsid w:val="00556B7B"/>
    <w:rsid w:val="00556C83"/>
    <w:rsid w:val="0055783D"/>
    <w:rsid w:val="00557973"/>
    <w:rsid w:val="00560174"/>
    <w:rsid w:val="00560373"/>
    <w:rsid w:val="0056067E"/>
    <w:rsid w:val="00560E5B"/>
    <w:rsid w:val="00563F40"/>
    <w:rsid w:val="0056417C"/>
    <w:rsid w:val="0056432B"/>
    <w:rsid w:val="0056496C"/>
    <w:rsid w:val="005654D3"/>
    <w:rsid w:val="005665C0"/>
    <w:rsid w:val="00566FDA"/>
    <w:rsid w:val="005677DA"/>
    <w:rsid w:val="00567842"/>
    <w:rsid w:val="00570159"/>
    <w:rsid w:val="0057020D"/>
    <w:rsid w:val="00570D43"/>
    <w:rsid w:val="005723CC"/>
    <w:rsid w:val="005728D7"/>
    <w:rsid w:val="00572DD5"/>
    <w:rsid w:val="005736D8"/>
    <w:rsid w:val="0057390C"/>
    <w:rsid w:val="00574799"/>
    <w:rsid w:val="00574835"/>
    <w:rsid w:val="00574959"/>
    <w:rsid w:val="00575616"/>
    <w:rsid w:val="005767EE"/>
    <w:rsid w:val="005768F7"/>
    <w:rsid w:val="00576E2B"/>
    <w:rsid w:val="00580250"/>
    <w:rsid w:val="00580C18"/>
    <w:rsid w:val="00580F5A"/>
    <w:rsid w:val="00581013"/>
    <w:rsid w:val="00581BC7"/>
    <w:rsid w:val="00581CCA"/>
    <w:rsid w:val="00582112"/>
    <w:rsid w:val="005826CA"/>
    <w:rsid w:val="00582D1C"/>
    <w:rsid w:val="00584619"/>
    <w:rsid w:val="005846B8"/>
    <w:rsid w:val="00584AE9"/>
    <w:rsid w:val="00584D85"/>
    <w:rsid w:val="00585269"/>
    <w:rsid w:val="0058541C"/>
    <w:rsid w:val="005857EB"/>
    <w:rsid w:val="005858D4"/>
    <w:rsid w:val="00585A94"/>
    <w:rsid w:val="0058604F"/>
    <w:rsid w:val="005870C6"/>
    <w:rsid w:val="00587AFE"/>
    <w:rsid w:val="00587D47"/>
    <w:rsid w:val="00587F32"/>
    <w:rsid w:val="00590396"/>
    <w:rsid w:val="00590679"/>
    <w:rsid w:val="0059143B"/>
    <w:rsid w:val="00591673"/>
    <w:rsid w:val="00591BE0"/>
    <w:rsid w:val="00591D36"/>
    <w:rsid w:val="005922D3"/>
    <w:rsid w:val="00592314"/>
    <w:rsid w:val="00593CE5"/>
    <w:rsid w:val="00594548"/>
    <w:rsid w:val="005948ED"/>
    <w:rsid w:val="00594D41"/>
    <w:rsid w:val="0059513E"/>
    <w:rsid w:val="00595784"/>
    <w:rsid w:val="00596445"/>
    <w:rsid w:val="005971E2"/>
    <w:rsid w:val="005A06C7"/>
    <w:rsid w:val="005A0823"/>
    <w:rsid w:val="005A0C54"/>
    <w:rsid w:val="005A1B7F"/>
    <w:rsid w:val="005A27BB"/>
    <w:rsid w:val="005A27D5"/>
    <w:rsid w:val="005A298B"/>
    <w:rsid w:val="005A2A67"/>
    <w:rsid w:val="005A2CD4"/>
    <w:rsid w:val="005A47A3"/>
    <w:rsid w:val="005A4803"/>
    <w:rsid w:val="005A4F30"/>
    <w:rsid w:val="005A5578"/>
    <w:rsid w:val="005A5B66"/>
    <w:rsid w:val="005A60CD"/>
    <w:rsid w:val="005A683A"/>
    <w:rsid w:val="005A6C21"/>
    <w:rsid w:val="005A78CB"/>
    <w:rsid w:val="005B0E27"/>
    <w:rsid w:val="005B125F"/>
    <w:rsid w:val="005B146C"/>
    <w:rsid w:val="005B1B63"/>
    <w:rsid w:val="005B28C7"/>
    <w:rsid w:val="005B2ACA"/>
    <w:rsid w:val="005B2BA6"/>
    <w:rsid w:val="005B2C3B"/>
    <w:rsid w:val="005B36CC"/>
    <w:rsid w:val="005B4037"/>
    <w:rsid w:val="005B4BDF"/>
    <w:rsid w:val="005B51C7"/>
    <w:rsid w:val="005B6679"/>
    <w:rsid w:val="005B679D"/>
    <w:rsid w:val="005B7354"/>
    <w:rsid w:val="005B7402"/>
    <w:rsid w:val="005B7E8E"/>
    <w:rsid w:val="005C003E"/>
    <w:rsid w:val="005C059C"/>
    <w:rsid w:val="005C07B7"/>
    <w:rsid w:val="005C0A83"/>
    <w:rsid w:val="005C0D00"/>
    <w:rsid w:val="005C1790"/>
    <w:rsid w:val="005C2858"/>
    <w:rsid w:val="005C2D98"/>
    <w:rsid w:val="005C3133"/>
    <w:rsid w:val="005C38F3"/>
    <w:rsid w:val="005C50B5"/>
    <w:rsid w:val="005C60F4"/>
    <w:rsid w:val="005C7CEE"/>
    <w:rsid w:val="005D003E"/>
    <w:rsid w:val="005D0807"/>
    <w:rsid w:val="005D1107"/>
    <w:rsid w:val="005D2536"/>
    <w:rsid w:val="005D2E5C"/>
    <w:rsid w:val="005D32B2"/>
    <w:rsid w:val="005D34C1"/>
    <w:rsid w:val="005D3696"/>
    <w:rsid w:val="005D37BF"/>
    <w:rsid w:val="005D3C76"/>
    <w:rsid w:val="005D4039"/>
    <w:rsid w:val="005D4957"/>
    <w:rsid w:val="005D4F36"/>
    <w:rsid w:val="005D505E"/>
    <w:rsid w:val="005D5317"/>
    <w:rsid w:val="005D5E9A"/>
    <w:rsid w:val="005D6054"/>
    <w:rsid w:val="005D6074"/>
    <w:rsid w:val="005D6AEB"/>
    <w:rsid w:val="005D76BD"/>
    <w:rsid w:val="005D7BD3"/>
    <w:rsid w:val="005D7DEF"/>
    <w:rsid w:val="005D7F58"/>
    <w:rsid w:val="005E0697"/>
    <w:rsid w:val="005E1639"/>
    <w:rsid w:val="005E1C4F"/>
    <w:rsid w:val="005E231A"/>
    <w:rsid w:val="005E247E"/>
    <w:rsid w:val="005E2BB0"/>
    <w:rsid w:val="005E3BBD"/>
    <w:rsid w:val="005E4A60"/>
    <w:rsid w:val="005E5D3D"/>
    <w:rsid w:val="005E600D"/>
    <w:rsid w:val="005E6B39"/>
    <w:rsid w:val="005E6CD0"/>
    <w:rsid w:val="005E7F96"/>
    <w:rsid w:val="005E7FD2"/>
    <w:rsid w:val="005F048A"/>
    <w:rsid w:val="005F2352"/>
    <w:rsid w:val="005F2AC1"/>
    <w:rsid w:val="005F2AFD"/>
    <w:rsid w:val="005F3944"/>
    <w:rsid w:val="005F3F18"/>
    <w:rsid w:val="005F4FE0"/>
    <w:rsid w:val="005F55BA"/>
    <w:rsid w:val="005F5AC8"/>
    <w:rsid w:val="005F6E2F"/>
    <w:rsid w:val="0060197F"/>
    <w:rsid w:val="00601F32"/>
    <w:rsid w:val="00602271"/>
    <w:rsid w:val="00602934"/>
    <w:rsid w:val="0060303A"/>
    <w:rsid w:val="00603B37"/>
    <w:rsid w:val="00603D76"/>
    <w:rsid w:val="00604419"/>
    <w:rsid w:val="00604F04"/>
    <w:rsid w:val="00605024"/>
    <w:rsid w:val="006052AF"/>
    <w:rsid w:val="006052D5"/>
    <w:rsid w:val="0060554E"/>
    <w:rsid w:val="00607E19"/>
    <w:rsid w:val="0061092B"/>
    <w:rsid w:val="00610AC6"/>
    <w:rsid w:val="00611325"/>
    <w:rsid w:val="006117E1"/>
    <w:rsid w:val="006119DF"/>
    <w:rsid w:val="006121B3"/>
    <w:rsid w:val="00613977"/>
    <w:rsid w:val="00613F12"/>
    <w:rsid w:val="00614058"/>
    <w:rsid w:val="0061438B"/>
    <w:rsid w:val="006143E8"/>
    <w:rsid w:val="006143F3"/>
    <w:rsid w:val="0061456B"/>
    <w:rsid w:val="00615CF4"/>
    <w:rsid w:val="00615EFD"/>
    <w:rsid w:val="006178F1"/>
    <w:rsid w:val="00617C59"/>
    <w:rsid w:val="00617F69"/>
    <w:rsid w:val="0062018C"/>
    <w:rsid w:val="006211A7"/>
    <w:rsid w:val="006220B1"/>
    <w:rsid w:val="00622AA0"/>
    <w:rsid w:val="006232A7"/>
    <w:rsid w:val="006234A1"/>
    <w:rsid w:val="006239B1"/>
    <w:rsid w:val="00624645"/>
    <w:rsid w:val="0062546E"/>
    <w:rsid w:val="006255CB"/>
    <w:rsid w:val="00625683"/>
    <w:rsid w:val="00630289"/>
    <w:rsid w:val="006303EC"/>
    <w:rsid w:val="00630693"/>
    <w:rsid w:val="0063088E"/>
    <w:rsid w:val="00630AC4"/>
    <w:rsid w:val="00630DD0"/>
    <w:rsid w:val="00632626"/>
    <w:rsid w:val="006326EC"/>
    <w:rsid w:val="00632939"/>
    <w:rsid w:val="00632E58"/>
    <w:rsid w:val="00632F24"/>
    <w:rsid w:val="00633245"/>
    <w:rsid w:val="006332F6"/>
    <w:rsid w:val="0063412F"/>
    <w:rsid w:val="00634D74"/>
    <w:rsid w:val="00635B99"/>
    <w:rsid w:val="00636E28"/>
    <w:rsid w:val="006370AA"/>
    <w:rsid w:val="00637218"/>
    <w:rsid w:val="006376E6"/>
    <w:rsid w:val="00637A74"/>
    <w:rsid w:val="00637C72"/>
    <w:rsid w:val="00637D36"/>
    <w:rsid w:val="006400D8"/>
    <w:rsid w:val="0064032E"/>
    <w:rsid w:val="00641448"/>
    <w:rsid w:val="006421FD"/>
    <w:rsid w:val="006424C0"/>
    <w:rsid w:val="00642826"/>
    <w:rsid w:val="00643AB8"/>
    <w:rsid w:val="00644000"/>
    <w:rsid w:val="006446D3"/>
    <w:rsid w:val="006466EB"/>
    <w:rsid w:val="00647A90"/>
    <w:rsid w:val="00650A26"/>
    <w:rsid w:val="006510DA"/>
    <w:rsid w:val="00651EC7"/>
    <w:rsid w:val="00652CDB"/>
    <w:rsid w:val="00652CE7"/>
    <w:rsid w:val="00653154"/>
    <w:rsid w:val="00653A39"/>
    <w:rsid w:val="006542F3"/>
    <w:rsid w:val="00654451"/>
    <w:rsid w:val="00654AB1"/>
    <w:rsid w:val="00654EFC"/>
    <w:rsid w:val="0065581E"/>
    <w:rsid w:val="00656BE1"/>
    <w:rsid w:val="00657DA3"/>
    <w:rsid w:val="006601F5"/>
    <w:rsid w:val="006606D7"/>
    <w:rsid w:val="00660D20"/>
    <w:rsid w:val="006627C2"/>
    <w:rsid w:val="00662E01"/>
    <w:rsid w:val="00662E85"/>
    <w:rsid w:val="00663064"/>
    <w:rsid w:val="006634D3"/>
    <w:rsid w:val="006637F2"/>
    <w:rsid w:val="006646F2"/>
    <w:rsid w:val="00664748"/>
    <w:rsid w:val="00664C09"/>
    <w:rsid w:val="00666290"/>
    <w:rsid w:val="00666864"/>
    <w:rsid w:val="00666E1C"/>
    <w:rsid w:val="0066745C"/>
    <w:rsid w:val="0067063D"/>
    <w:rsid w:val="00670B72"/>
    <w:rsid w:val="00670F0E"/>
    <w:rsid w:val="00671050"/>
    <w:rsid w:val="00671B64"/>
    <w:rsid w:val="00672E4C"/>
    <w:rsid w:val="00672E84"/>
    <w:rsid w:val="006746DC"/>
    <w:rsid w:val="006777C0"/>
    <w:rsid w:val="0067783B"/>
    <w:rsid w:val="00677FE2"/>
    <w:rsid w:val="00680633"/>
    <w:rsid w:val="00680696"/>
    <w:rsid w:val="00681388"/>
    <w:rsid w:val="00681908"/>
    <w:rsid w:val="006826AC"/>
    <w:rsid w:val="00682802"/>
    <w:rsid w:val="00682CAF"/>
    <w:rsid w:val="00682D1A"/>
    <w:rsid w:val="00683AE2"/>
    <w:rsid w:val="00683D6B"/>
    <w:rsid w:val="0068406F"/>
    <w:rsid w:val="006841B2"/>
    <w:rsid w:val="00684215"/>
    <w:rsid w:val="00684270"/>
    <w:rsid w:val="0068640A"/>
    <w:rsid w:val="00687452"/>
    <w:rsid w:val="006903F9"/>
    <w:rsid w:val="006911E8"/>
    <w:rsid w:val="0069199C"/>
    <w:rsid w:val="00693293"/>
    <w:rsid w:val="00693BAB"/>
    <w:rsid w:val="00694FE8"/>
    <w:rsid w:val="00695169"/>
    <w:rsid w:val="00695BB2"/>
    <w:rsid w:val="00696876"/>
    <w:rsid w:val="006969E3"/>
    <w:rsid w:val="00696A83"/>
    <w:rsid w:val="00696B06"/>
    <w:rsid w:val="00696B81"/>
    <w:rsid w:val="00697117"/>
    <w:rsid w:val="00697689"/>
    <w:rsid w:val="006977DD"/>
    <w:rsid w:val="006A025C"/>
    <w:rsid w:val="006A09FE"/>
    <w:rsid w:val="006A0EF1"/>
    <w:rsid w:val="006A1828"/>
    <w:rsid w:val="006A24C0"/>
    <w:rsid w:val="006A2A4E"/>
    <w:rsid w:val="006A2EDC"/>
    <w:rsid w:val="006A39A8"/>
    <w:rsid w:val="006A47BA"/>
    <w:rsid w:val="006A57C3"/>
    <w:rsid w:val="006A5C2A"/>
    <w:rsid w:val="006A6576"/>
    <w:rsid w:val="006A671E"/>
    <w:rsid w:val="006A7B48"/>
    <w:rsid w:val="006A7ED3"/>
    <w:rsid w:val="006B056C"/>
    <w:rsid w:val="006B2DDD"/>
    <w:rsid w:val="006B2FE1"/>
    <w:rsid w:val="006B41EE"/>
    <w:rsid w:val="006B5869"/>
    <w:rsid w:val="006B60F1"/>
    <w:rsid w:val="006B629B"/>
    <w:rsid w:val="006B6CA5"/>
    <w:rsid w:val="006B7213"/>
    <w:rsid w:val="006B754C"/>
    <w:rsid w:val="006C0442"/>
    <w:rsid w:val="006C193C"/>
    <w:rsid w:val="006C199D"/>
    <w:rsid w:val="006C27BA"/>
    <w:rsid w:val="006C3BBB"/>
    <w:rsid w:val="006C4545"/>
    <w:rsid w:val="006C48F9"/>
    <w:rsid w:val="006C4C29"/>
    <w:rsid w:val="006C4CC8"/>
    <w:rsid w:val="006C6F30"/>
    <w:rsid w:val="006C6FE0"/>
    <w:rsid w:val="006C76F7"/>
    <w:rsid w:val="006C7CCF"/>
    <w:rsid w:val="006D0072"/>
    <w:rsid w:val="006D0D83"/>
    <w:rsid w:val="006D3A80"/>
    <w:rsid w:val="006D44BD"/>
    <w:rsid w:val="006D4F21"/>
    <w:rsid w:val="006D5DD6"/>
    <w:rsid w:val="006D6021"/>
    <w:rsid w:val="006D60CF"/>
    <w:rsid w:val="006D678E"/>
    <w:rsid w:val="006D795D"/>
    <w:rsid w:val="006D7ADA"/>
    <w:rsid w:val="006E0198"/>
    <w:rsid w:val="006E026C"/>
    <w:rsid w:val="006E08D5"/>
    <w:rsid w:val="006E1EEE"/>
    <w:rsid w:val="006E239F"/>
    <w:rsid w:val="006E25C4"/>
    <w:rsid w:val="006E4264"/>
    <w:rsid w:val="006E4D8C"/>
    <w:rsid w:val="006E5982"/>
    <w:rsid w:val="006E6223"/>
    <w:rsid w:val="006E636B"/>
    <w:rsid w:val="006E66D7"/>
    <w:rsid w:val="006E74EE"/>
    <w:rsid w:val="006E7B93"/>
    <w:rsid w:val="006E7C2E"/>
    <w:rsid w:val="006E7EC7"/>
    <w:rsid w:val="006F02E3"/>
    <w:rsid w:val="006F0991"/>
    <w:rsid w:val="006F0AE4"/>
    <w:rsid w:val="006F0CEA"/>
    <w:rsid w:val="006F1305"/>
    <w:rsid w:val="006F1348"/>
    <w:rsid w:val="006F1CE7"/>
    <w:rsid w:val="006F2EFD"/>
    <w:rsid w:val="006F422C"/>
    <w:rsid w:val="006F4915"/>
    <w:rsid w:val="006F4DC4"/>
    <w:rsid w:val="006F53C3"/>
    <w:rsid w:val="006F5C2E"/>
    <w:rsid w:val="006F5DF2"/>
    <w:rsid w:val="006F6110"/>
    <w:rsid w:val="006F6218"/>
    <w:rsid w:val="006F6BCF"/>
    <w:rsid w:val="007011AF"/>
    <w:rsid w:val="007018D4"/>
    <w:rsid w:val="00701DF6"/>
    <w:rsid w:val="00702260"/>
    <w:rsid w:val="0070274D"/>
    <w:rsid w:val="00703105"/>
    <w:rsid w:val="0070325A"/>
    <w:rsid w:val="00703C45"/>
    <w:rsid w:val="00704709"/>
    <w:rsid w:val="0070487A"/>
    <w:rsid w:val="00704B90"/>
    <w:rsid w:val="00704C55"/>
    <w:rsid w:val="007050E8"/>
    <w:rsid w:val="00705170"/>
    <w:rsid w:val="00705ECC"/>
    <w:rsid w:val="007066AA"/>
    <w:rsid w:val="00707D51"/>
    <w:rsid w:val="007102B9"/>
    <w:rsid w:val="007107B9"/>
    <w:rsid w:val="00710A77"/>
    <w:rsid w:val="00710BB7"/>
    <w:rsid w:val="00710DA2"/>
    <w:rsid w:val="00711A7A"/>
    <w:rsid w:val="007121A7"/>
    <w:rsid w:val="007122A2"/>
    <w:rsid w:val="007122E1"/>
    <w:rsid w:val="0071311B"/>
    <w:rsid w:val="0071353F"/>
    <w:rsid w:val="007136A4"/>
    <w:rsid w:val="00714DDB"/>
    <w:rsid w:val="00715DCA"/>
    <w:rsid w:val="0071618E"/>
    <w:rsid w:val="00716356"/>
    <w:rsid w:val="007164B7"/>
    <w:rsid w:val="00716F99"/>
    <w:rsid w:val="007179F6"/>
    <w:rsid w:val="00720E46"/>
    <w:rsid w:val="00722DFE"/>
    <w:rsid w:val="00723396"/>
    <w:rsid w:val="00723A53"/>
    <w:rsid w:val="0072441C"/>
    <w:rsid w:val="0072515F"/>
    <w:rsid w:val="0072533B"/>
    <w:rsid w:val="007257F3"/>
    <w:rsid w:val="007258AF"/>
    <w:rsid w:val="00725D78"/>
    <w:rsid w:val="007269CE"/>
    <w:rsid w:val="00726D7C"/>
    <w:rsid w:val="00727E55"/>
    <w:rsid w:val="00731409"/>
    <w:rsid w:val="00732245"/>
    <w:rsid w:val="0073271B"/>
    <w:rsid w:val="00732C97"/>
    <w:rsid w:val="00732F1E"/>
    <w:rsid w:val="007337EE"/>
    <w:rsid w:val="00734235"/>
    <w:rsid w:val="00734E99"/>
    <w:rsid w:val="00736102"/>
    <w:rsid w:val="0074020B"/>
    <w:rsid w:val="00740E47"/>
    <w:rsid w:val="00740F05"/>
    <w:rsid w:val="00741AD8"/>
    <w:rsid w:val="007427DB"/>
    <w:rsid w:val="00744A62"/>
    <w:rsid w:val="00744B6C"/>
    <w:rsid w:val="00746FFA"/>
    <w:rsid w:val="00747FA5"/>
    <w:rsid w:val="00750014"/>
    <w:rsid w:val="00750B15"/>
    <w:rsid w:val="0075151C"/>
    <w:rsid w:val="00751D65"/>
    <w:rsid w:val="00751DD2"/>
    <w:rsid w:val="00751FD0"/>
    <w:rsid w:val="007528D1"/>
    <w:rsid w:val="00752AB4"/>
    <w:rsid w:val="00752AED"/>
    <w:rsid w:val="007533AD"/>
    <w:rsid w:val="00753401"/>
    <w:rsid w:val="00753677"/>
    <w:rsid w:val="0075387B"/>
    <w:rsid w:val="0075497B"/>
    <w:rsid w:val="00754E2B"/>
    <w:rsid w:val="007551A2"/>
    <w:rsid w:val="00755274"/>
    <w:rsid w:val="007553CD"/>
    <w:rsid w:val="00756D08"/>
    <w:rsid w:val="00757261"/>
    <w:rsid w:val="00757ACE"/>
    <w:rsid w:val="00757C38"/>
    <w:rsid w:val="00760E0F"/>
    <w:rsid w:val="00762DCF"/>
    <w:rsid w:val="00763A97"/>
    <w:rsid w:val="00763D57"/>
    <w:rsid w:val="00763EAA"/>
    <w:rsid w:val="00764227"/>
    <w:rsid w:val="00764ABF"/>
    <w:rsid w:val="00764D05"/>
    <w:rsid w:val="0076514C"/>
    <w:rsid w:val="00765BCB"/>
    <w:rsid w:val="00766402"/>
    <w:rsid w:val="00766A6A"/>
    <w:rsid w:val="00767259"/>
    <w:rsid w:val="00767527"/>
    <w:rsid w:val="00767C21"/>
    <w:rsid w:val="00767FA0"/>
    <w:rsid w:val="0077040C"/>
    <w:rsid w:val="00770948"/>
    <w:rsid w:val="0077121A"/>
    <w:rsid w:val="00771CA2"/>
    <w:rsid w:val="0077219F"/>
    <w:rsid w:val="00772FC3"/>
    <w:rsid w:val="007734EE"/>
    <w:rsid w:val="00773C8F"/>
    <w:rsid w:val="00774118"/>
    <w:rsid w:val="0077426C"/>
    <w:rsid w:val="00774270"/>
    <w:rsid w:val="00774F6F"/>
    <w:rsid w:val="00775CDB"/>
    <w:rsid w:val="0077698A"/>
    <w:rsid w:val="00776B02"/>
    <w:rsid w:val="00776DD1"/>
    <w:rsid w:val="007778FE"/>
    <w:rsid w:val="00777E71"/>
    <w:rsid w:val="007808E3"/>
    <w:rsid w:val="00780FDE"/>
    <w:rsid w:val="007817A6"/>
    <w:rsid w:val="007817E0"/>
    <w:rsid w:val="00782323"/>
    <w:rsid w:val="00782788"/>
    <w:rsid w:val="00782EFB"/>
    <w:rsid w:val="00783D9B"/>
    <w:rsid w:val="00785095"/>
    <w:rsid w:val="00786B9F"/>
    <w:rsid w:val="00786BE3"/>
    <w:rsid w:val="00786BEE"/>
    <w:rsid w:val="00787208"/>
    <w:rsid w:val="007873C3"/>
    <w:rsid w:val="00787A37"/>
    <w:rsid w:val="00790836"/>
    <w:rsid w:val="00790BB7"/>
    <w:rsid w:val="007911DA"/>
    <w:rsid w:val="007918A0"/>
    <w:rsid w:val="007925DD"/>
    <w:rsid w:val="00793341"/>
    <w:rsid w:val="00793929"/>
    <w:rsid w:val="00793C6B"/>
    <w:rsid w:val="00794171"/>
    <w:rsid w:val="00794D5C"/>
    <w:rsid w:val="007953A8"/>
    <w:rsid w:val="0079557D"/>
    <w:rsid w:val="007955DB"/>
    <w:rsid w:val="00795B47"/>
    <w:rsid w:val="007974A7"/>
    <w:rsid w:val="007976EA"/>
    <w:rsid w:val="00797C55"/>
    <w:rsid w:val="00797D61"/>
    <w:rsid w:val="007A0665"/>
    <w:rsid w:val="007A10DF"/>
    <w:rsid w:val="007A13E3"/>
    <w:rsid w:val="007A168F"/>
    <w:rsid w:val="007A16EC"/>
    <w:rsid w:val="007A1C87"/>
    <w:rsid w:val="007A1C95"/>
    <w:rsid w:val="007A1DA2"/>
    <w:rsid w:val="007A2EAF"/>
    <w:rsid w:val="007A2EF1"/>
    <w:rsid w:val="007A32A1"/>
    <w:rsid w:val="007A3CD2"/>
    <w:rsid w:val="007A4988"/>
    <w:rsid w:val="007A4A09"/>
    <w:rsid w:val="007A561E"/>
    <w:rsid w:val="007A5EBF"/>
    <w:rsid w:val="007A6670"/>
    <w:rsid w:val="007A7B77"/>
    <w:rsid w:val="007A7D76"/>
    <w:rsid w:val="007B0341"/>
    <w:rsid w:val="007B0577"/>
    <w:rsid w:val="007B0808"/>
    <w:rsid w:val="007B09E7"/>
    <w:rsid w:val="007B24F4"/>
    <w:rsid w:val="007B2F8B"/>
    <w:rsid w:val="007B66BB"/>
    <w:rsid w:val="007B6EDD"/>
    <w:rsid w:val="007B73F3"/>
    <w:rsid w:val="007B7A6C"/>
    <w:rsid w:val="007B7FB9"/>
    <w:rsid w:val="007C0005"/>
    <w:rsid w:val="007C06FF"/>
    <w:rsid w:val="007C099E"/>
    <w:rsid w:val="007C12CF"/>
    <w:rsid w:val="007C19B0"/>
    <w:rsid w:val="007C277E"/>
    <w:rsid w:val="007C2D88"/>
    <w:rsid w:val="007C34D2"/>
    <w:rsid w:val="007C3C97"/>
    <w:rsid w:val="007C4852"/>
    <w:rsid w:val="007C4CE5"/>
    <w:rsid w:val="007C54B9"/>
    <w:rsid w:val="007C55E0"/>
    <w:rsid w:val="007C5646"/>
    <w:rsid w:val="007C5CB8"/>
    <w:rsid w:val="007C616E"/>
    <w:rsid w:val="007C626C"/>
    <w:rsid w:val="007C7056"/>
    <w:rsid w:val="007D0F62"/>
    <w:rsid w:val="007D1070"/>
    <w:rsid w:val="007D13E6"/>
    <w:rsid w:val="007D140D"/>
    <w:rsid w:val="007D17D5"/>
    <w:rsid w:val="007D2AD5"/>
    <w:rsid w:val="007D4339"/>
    <w:rsid w:val="007D4CF0"/>
    <w:rsid w:val="007D537F"/>
    <w:rsid w:val="007D5E2A"/>
    <w:rsid w:val="007D5EA1"/>
    <w:rsid w:val="007D64B1"/>
    <w:rsid w:val="007D683E"/>
    <w:rsid w:val="007D695B"/>
    <w:rsid w:val="007D6A72"/>
    <w:rsid w:val="007D6B35"/>
    <w:rsid w:val="007D6CCA"/>
    <w:rsid w:val="007D7DF5"/>
    <w:rsid w:val="007E0042"/>
    <w:rsid w:val="007E0059"/>
    <w:rsid w:val="007E15EB"/>
    <w:rsid w:val="007E2B3E"/>
    <w:rsid w:val="007E3151"/>
    <w:rsid w:val="007E3222"/>
    <w:rsid w:val="007E3337"/>
    <w:rsid w:val="007E3D70"/>
    <w:rsid w:val="007E43AE"/>
    <w:rsid w:val="007E5708"/>
    <w:rsid w:val="007E6D4C"/>
    <w:rsid w:val="007E7A69"/>
    <w:rsid w:val="007F2104"/>
    <w:rsid w:val="007F3523"/>
    <w:rsid w:val="007F3556"/>
    <w:rsid w:val="007F4027"/>
    <w:rsid w:val="007F4272"/>
    <w:rsid w:val="007F453B"/>
    <w:rsid w:val="007F585F"/>
    <w:rsid w:val="007F664D"/>
    <w:rsid w:val="007F72FF"/>
    <w:rsid w:val="007F7355"/>
    <w:rsid w:val="007F7671"/>
    <w:rsid w:val="007F7720"/>
    <w:rsid w:val="007F7A68"/>
    <w:rsid w:val="0080145B"/>
    <w:rsid w:val="008015CF"/>
    <w:rsid w:val="00801AB7"/>
    <w:rsid w:val="0080255C"/>
    <w:rsid w:val="0080258D"/>
    <w:rsid w:val="008026C5"/>
    <w:rsid w:val="008032A5"/>
    <w:rsid w:val="00803E6F"/>
    <w:rsid w:val="008042B7"/>
    <w:rsid w:val="0080457C"/>
    <w:rsid w:val="00806A19"/>
    <w:rsid w:val="0080797F"/>
    <w:rsid w:val="008101B6"/>
    <w:rsid w:val="00810E7B"/>
    <w:rsid w:val="00810F5D"/>
    <w:rsid w:val="00811816"/>
    <w:rsid w:val="008123FF"/>
    <w:rsid w:val="008129E4"/>
    <w:rsid w:val="00812EBE"/>
    <w:rsid w:val="00813436"/>
    <w:rsid w:val="00813773"/>
    <w:rsid w:val="00814213"/>
    <w:rsid w:val="0081450F"/>
    <w:rsid w:val="00814774"/>
    <w:rsid w:val="00814D2F"/>
    <w:rsid w:val="008161BB"/>
    <w:rsid w:val="008219B3"/>
    <w:rsid w:val="00822E95"/>
    <w:rsid w:val="00823A56"/>
    <w:rsid w:val="0082438C"/>
    <w:rsid w:val="00824807"/>
    <w:rsid w:val="00824E2A"/>
    <w:rsid w:val="00825D60"/>
    <w:rsid w:val="00826681"/>
    <w:rsid w:val="00826E34"/>
    <w:rsid w:val="008279E3"/>
    <w:rsid w:val="00830D00"/>
    <w:rsid w:val="0083147E"/>
    <w:rsid w:val="00831663"/>
    <w:rsid w:val="00831DDD"/>
    <w:rsid w:val="00832201"/>
    <w:rsid w:val="00832557"/>
    <w:rsid w:val="00833136"/>
    <w:rsid w:val="00833520"/>
    <w:rsid w:val="008346C4"/>
    <w:rsid w:val="0083587D"/>
    <w:rsid w:val="008364CA"/>
    <w:rsid w:val="00836DC3"/>
    <w:rsid w:val="00837E6C"/>
    <w:rsid w:val="00840A27"/>
    <w:rsid w:val="00840BCD"/>
    <w:rsid w:val="00842175"/>
    <w:rsid w:val="00842565"/>
    <w:rsid w:val="00842977"/>
    <w:rsid w:val="0084298C"/>
    <w:rsid w:val="008429CF"/>
    <w:rsid w:val="008429E4"/>
    <w:rsid w:val="008430EA"/>
    <w:rsid w:val="0084413D"/>
    <w:rsid w:val="00844293"/>
    <w:rsid w:val="00844366"/>
    <w:rsid w:val="00845C45"/>
    <w:rsid w:val="00845C53"/>
    <w:rsid w:val="00846693"/>
    <w:rsid w:val="008473B5"/>
    <w:rsid w:val="00850695"/>
    <w:rsid w:val="008506CE"/>
    <w:rsid w:val="00850A60"/>
    <w:rsid w:val="00850FC0"/>
    <w:rsid w:val="008517E5"/>
    <w:rsid w:val="00851C61"/>
    <w:rsid w:val="008533BD"/>
    <w:rsid w:val="008536D8"/>
    <w:rsid w:val="008539A1"/>
    <w:rsid w:val="008546BE"/>
    <w:rsid w:val="0085532E"/>
    <w:rsid w:val="008561A5"/>
    <w:rsid w:val="008576B2"/>
    <w:rsid w:val="00860A77"/>
    <w:rsid w:val="00860B48"/>
    <w:rsid w:val="008614B7"/>
    <w:rsid w:val="00861CA0"/>
    <w:rsid w:val="00862214"/>
    <w:rsid w:val="00862692"/>
    <w:rsid w:val="00863693"/>
    <w:rsid w:val="008637FC"/>
    <w:rsid w:val="0086488B"/>
    <w:rsid w:val="0086635D"/>
    <w:rsid w:val="00866405"/>
    <w:rsid w:val="0086677C"/>
    <w:rsid w:val="008668A1"/>
    <w:rsid w:val="008668DA"/>
    <w:rsid w:val="0086745B"/>
    <w:rsid w:val="00867DE3"/>
    <w:rsid w:val="0087058A"/>
    <w:rsid w:val="00870CDA"/>
    <w:rsid w:val="00870EDE"/>
    <w:rsid w:val="0087103E"/>
    <w:rsid w:val="008711FB"/>
    <w:rsid w:val="00871877"/>
    <w:rsid w:val="00872937"/>
    <w:rsid w:val="00873023"/>
    <w:rsid w:val="008736A5"/>
    <w:rsid w:val="00873D96"/>
    <w:rsid w:val="00874558"/>
    <w:rsid w:val="00874943"/>
    <w:rsid w:val="00874BA4"/>
    <w:rsid w:val="00875310"/>
    <w:rsid w:val="008753FE"/>
    <w:rsid w:val="008756C1"/>
    <w:rsid w:val="00875D2E"/>
    <w:rsid w:val="00876468"/>
    <w:rsid w:val="00876FE2"/>
    <w:rsid w:val="0087776D"/>
    <w:rsid w:val="00877BB6"/>
    <w:rsid w:val="00880309"/>
    <w:rsid w:val="00881BB6"/>
    <w:rsid w:val="00881F3E"/>
    <w:rsid w:val="0088257D"/>
    <w:rsid w:val="008826C7"/>
    <w:rsid w:val="0088278A"/>
    <w:rsid w:val="00883AC7"/>
    <w:rsid w:val="00883F37"/>
    <w:rsid w:val="00883F65"/>
    <w:rsid w:val="00884D16"/>
    <w:rsid w:val="00885817"/>
    <w:rsid w:val="008866D2"/>
    <w:rsid w:val="008876FA"/>
    <w:rsid w:val="00887D28"/>
    <w:rsid w:val="00890007"/>
    <w:rsid w:val="00890168"/>
    <w:rsid w:val="0089153A"/>
    <w:rsid w:val="008916DC"/>
    <w:rsid w:val="00892624"/>
    <w:rsid w:val="00892F08"/>
    <w:rsid w:val="00893A7C"/>
    <w:rsid w:val="00893F11"/>
    <w:rsid w:val="00894FF8"/>
    <w:rsid w:val="008952E8"/>
    <w:rsid w:val="00895ACE"/>
    <w:rsid w:val="00895C1D"/>
    <w:rsid w:val="008968DA"/>
    <w:rsid w:val="00897447"/>
    <w:rsid w:val="008A052F"/>
    <w:rsid w:val="008A19B5"/>
    <w:rsid w:val="008A1DD4"/>
    <w:rsid w:val="008A214C"/>
    <w:rsid w:val="008A2837"/>
    <w:rsid w:val="008A2F50"/>
    <w:rsid w:val="008A310F"/>
    <w:rsid w:val="008A3993"/>
    <w:rsid w:val="008A3A44"/>
    <w:rsid w:val="008A402E"/>
    <w:rsid w:val="008A42C1"/>
    <w:rsid w:val="008A4302"/>
    <w:rsid w:val="008A4749"/>
    <w:rsid w:val="008A4C1C"/>
    <w:rsid w:val="008A4CA2"/>
    <w:rsid w:val="008A5CAF"/>
    <w:rsid w:val="008A635F"/>
    <w:rsid w:val="008A7B65"/>
    <w:rsid w:val="008A7C81"/>
    <w:rsid w:val="008B07EB"/>
    <w:rsid w:val="008B0F06"/>
    <w:rsid w:val="008B1EF8"/>
    <w:rsid w:val="008B20D8"/>
    <w:rsid w:val="008B21B5"/>
    <w:rsid w:val="008B23CE"/>
    <w:rsid w:val="008B25C9"/>
    <w:rsid w:val="008B3778"/>
    <w:rsid w:val="008B37AD"/>
    <w:rsid w:val="008B3F74"/>
    <w:rsid w:val="008B497C"/>
    <w:rsid w:val="008B54B2"/>
    <w:rsid w:val="008B5B24"/>
    <w:rsid w:val="008B6BD5"/>
    <w:rsid w:val="008B71BD"/>
    <w:rsid w:val="008C0A79"/>
    <w:rsid w:val="008C1466"/>
    <w:rsid w:val="008C395B"/>
    <w:rsid w:val="008C4082"/>
    <w:rsid w:val="008C463E"/>
    <w:rsid w:val="008C4737"/>
    <w:rsid w:val="008C4764"/>
    <w:rsid w:val="008C48C8"/>
    <w:rsid w:val="008C4972"/>
    <w:rsid w:val="008C4C72"/>
    <w:rsid w:val="008C5CF6"/>
    <w:rsid w:val="008C6596"/>
    <w:rsid w:val="008C7076"/>
    <w:rsid w:val="008C7102"/>
    <w:rsid w:val="008C7324"/>
    <w:rsid w:val="008C76E9"/>
    <w:rsid w:val="008D03F6"/>
    <w:rsid w:val="008D065D"/>
    <w:rsid w:val="008D0F55"/>
    <w:rsid w:val="008D1F8A"/>
    <w:rsid w:val="008D2DB0"/>
    <w:rsid w:val="008D2EBD"/>
    <w:rsid w:val="008D56F4"/>
    <w:rsid w:val="008D69D2"/>
    <w:rsid w:val="008D6CF6"/>
    <w:rsid w:val="008D6EBE"/>
    <w:rsid w:val="008D733D"/>
    <w:rsid w:val="008D73C7"/>
    <w:rsid w:val="008D7C7E"/>
    <w:rsid w:val="008E0539"/>
    <w:rsid w:val="008E09A3"/>
    <w:rsid w:val="008E265E"/>
    <w:rsid w:val="008E28E0"/>
    <w:rsid w:val="008E29CA"/>
    <w:rsid w:val="008E29F6"/>
    <w:rsid w:val="008E2A48"/>
    <w:rsid w:val="008E2E0F"/>
    <w:rsid w:val="008E391B"/>
    <w:rsid w:val="008E3C05"/>
    <w:rsid w:val="008E402E"/>
    <w:rsid w:val="008E5424"/>
    <w:rsid w:val="008E6885"/>
    <w:rsid w:val="008E703B"/>
    <w:rsid w:val="008E7DA0"/>
    <w:rsid w:val="008E7F1F"/>
    <w:rsid w:val="008E7FB6"/>
    <w:rsid w:val="008F000B"/>
    <w:rsid w:val="008F0CA1"/>
    <w:rsid w:val="008F1476"/>
    <w:rsid w:val="008F26C3"/>
    <w:rsid w:val="008F271D"/>
    <w:rsid w:val="008F31ED"/>
    <w:rsid w:val="008F3372"/>
    <w:rsid w:val="008F3C99"/>
    <w:rsid w:val="008F601E"/>
    <w:rsid w:val="008F6102"/>
    <w:rsid w:val="008F63CB"/>
    <w:rsid w:val="008F7974"/>
    <w:rsid w:val="008F7D9A"/>
    <w:rsid w:val="008F7DC8"/>
    <w:rsid w:val="00901298"/>
    <w:rsid w:val="00901442"/>
    <w:rsid w:val="00901623"/>
    <w:rsid w:val="00901658"/>
    <w:rsid w:val="0090202A"/>
    <w:rsid w:val="009024EC"/>
    <w:rsid w:val="0090269B"/>
    <w:rsid w:val="00902932"/>
    <w:rsid w:val="00902DF0"/>
    <w:rsid w:val="00903244"/>
    <w:rsid w:val="00904F66"/>
    <w:rsid w:val="00904FD1"/>
    <w:rsid w:val="0090653E"/>
    <w:rsid w:val="00907175"/>
    <w:rsid w:val="00907BFE"/>
    <w:rsid w:val="00907C59"/>
    <w:rsid w:val="00910191"/>
    <w:rsid w:val="0091090B"/>
    <w:rsid w:val="00911507"/>
    <w:rsid w:val="00914259"/>
    <w:rsid w:val="00914407"/>
    <w:rsid w:val="00914D86"/>
    <w:rsid w:val="009151DA"/>
    <w:rsid w:val="0091632B"/>
    <w:rsid w:val="0091641E"/>
    <w:rsid w:val="00916CC4"/>
    <w:rsid w:val="0091763E"/>
    <w:rsid w:val="00917757"/>
    <w:rsid w:val="009200C8"/>
    <w:rsid w:val="00920664"/>
    <w:rsid w:val="00920A65"/>
    <w:rsid w:val="00921338"/>
    <w:rsid w:val="0092291D"/>
    <w:rsid w:val="00923128"/>
    <w:rsid w:val="0092423F"/>
    <w:rsid w:val="0092431D"/>
    <w:rsid w:val="00924718"/>
    <w:rsid w:val="009250CF"/>
    <w:rsid w:val="00925AA9"/>
    <w:rsid w:val="00927E00"/>
    <w:rsid w:val="00930011"/>
    <w:rsid w:val="009305DC"/>
    <w:rsid w:val="00930FBD"/>
    <w:rsid w:val="00931461"/>
    <w:rsid w:val="00931D06"/>
    <w:rsid w:val="009330EC"/>
    <w:rsid w:val="009336F9"/>
    <w:rsid w:val="00934019"/>
    <w:rsid w:val="0093488F"/>
    <w:rsid w:val="009354EA"/>
    <w:rsid w:val="0093595B"/>
    <w:rsid w:val="0093777E"/>
    <w:rsid w:val="0093790D"/>
    <w:rsid w:val="00937B0B"/>
    <w:rsid w:val="0094024E"/>
    <w:rsid w:val="00940338"/>
    <w:rsid w:val="009410C5"/>
    <w:rsid w:val="0094192F"/>
    <w:rsid w:val="00941B22"/>
    <w:rsid w:val="009426BA"/>
    <w:rsid w:val="00942D69"/>
    <w:rsid w:val="00943482"/>
    <w:rsid w:val="009438C6"/>
    <w:rsid w:val="00943B61"/>
    <w:rsid w:val="00943B94"/>
    <w:rsid w:val="00943F83"/>
    <w:rsid w:val="009448DA"/>
    <w:rsid w:val="00944D33"/>
    <w:rsid w:val="00945AB0"/>
    <w:rsid w:val="00945AFE"/>
    <w:rsid w:val="00945CA6"/>
    <w:rsid w:val="00946C68"/>
    <w:rsid w:val="00947064"/>
    <w:rsid w:val="009472E8"/>
    <w:rsid w:val="0095165D"/>
    <w:rsid w:val="00951A68"/>
    <w:rsid w:val="0095248D"/>
    <w:rsid w:val="009539A5"/>
    <w:rsid w:val="00953B79"/>
    <w:rsid w:val="00953BC1"/>
    <w:rsid w:val="00953F15"/>
    <w:rsid w:val="00954C46"/>
    <w:rsid w:val="00954D31"/>
    <w:rsid w:val="009555F1"/>
    <w:rsid w:val="00955A2E"/>
    <w:rsid w:val="00955E9F"/>
    <w:rsid w:val="00956286"/>
    <w:rsid w:val="009564BF"/>
    <w:rsid w:val="00956EA8"/>
    <w:rsid w:val="00957238"/>
    <w:rsid w:val="00957C89"/>
    <w:rsid w:val="00957EBB"/>
    <w:rsid w:val="00960E63"/>
    <w:rsid w:val="00961E02"/>
    <w:rsid w:val="00962251"/>
    <w:rsid w:val="009624A4"/>
    <w:rsid w:val="00962F83"/>
    <w:rsid w:val="00963314"/>
    <w:rsid w:val="00964329"/>
    <w:rsid w:val="009649BF"/>
    <w:rsid w:val="00965B93"/>
    <w:rsid w:val="00965BC4"/>
    <w:rsid w:val="00965CF9"/>
    <w:rsid w:val="00965D7E"/>
    <w:rsid w:val="00965DFB"/>
    <w:rsid w:val="00965E3B"/>
    <w:rsid w:val="00965E55"/>
    <w:rsid w:val="00966772"/>
    <w:rsid w:val="00966AF2"/>
    <w:rsid w:val="00966C60"/>
    <w:rsid w:val="00966F8B"/>
    <w:rsid w:val="009672D2"/>
    <w:rsid w:val="00967601"/>
    <w:rsid w:val="00967B2F"/>
    <w:rsid w:val="00967E6F"/>
    <w:rsid w:val="00967EE9"/>
    <w:rsid w:val="009704C2"/>
    <w:rsid w:val="00971B0B"/>
    <w:rsid w:val="00972C61"/>
    <w:rsid w:val="00972E71"/>
    <w:rsid w:val="00973315"/>
    <w:rsid w:val="009733A5"/>
    <w:rsid w:val="00973AD0"/>
    <w:rsid w:val="00973D92"/>
    <w:rsid w:val="009742BF"/>
    <w:rsid w:val="00974301"/>
    <w:rsid w:val="00975AE0"/>
    <w:rsid w:val="00976CA5"/>
    <w:rsid w:val="0098039D"/>
    <w:rsid w:val="00980570"/>
    <w:rsid w:val="00980FAA"/>
    <w:rsid w:val="00981C05"/>
    <w:rsid w:val="00982286"/>
    <w:rsid w:val="009827FE"/>
    <w:rsid w:val="00982AA0"/>
    <w:rsid w:val="009835E7"/>
    <w:rsid w:val="00983CDA"/>
    <w:rsid w:val="009840DF"/>
    <w:rsid w:val="0098529F"/>
    <w:rsid w:val="00985446"/>
    <w:rsid w:val="009855EB"/>
    <w:rsid w:val="00985697"/>
    <w:rsid w:val="00985ED0"/>
    <w:rsid w:val="009861C0"/>
    <w:rsid w:val="0098624E"/>
    <w:rsid w:val="00987E7A"/>
    <w:rsid w:val="00990F98"/>
    <w:rsid w:val="00991C4D"/>
    <w:rsid w:val="00992F6F"/>
    <w:rsid w:val="009941DE"/>
    <w:rsid w:val="009947E8"/>
    <w:rsid w:val="00995D3B"/>
    <w:rsid w:val="00996159"/>
    <w:rsid w:val="009961AF"/>
    <w:rsid w:val="009975FD"/>
    <w:rsid w:val="00997C8A"/>
    <w:rsid w:val="00997CE2"/>
    <w:rsid w:val="009A0EE8"/>
    <w:rsid w:val="009A13BA"/>
    <w:rsid w:val="009A2592"/>
    <w:rsid w:val="009A2CBD"/>
    <w:rsid w:val="009A2D49"/>
    <w:rsid w:val="009A2FD6"/>
    <w:rsid w:val="009A3123"/>
    <w:rsid w:val="009A323E"/>
    <w:rsid w:val="009A32C0"/>
    <w:rsid w:val="009A3AC2"/>
    <w:rsid w:val="009A4FC2"/>
    <w:rsid w:val="009A5D68"/>
    <w:rsid w:val="009A5FB0"/>
    <w:rsid w:val="009A66FC"/>
    <w:rsid w:val="009A7E23"/>
    <w:rsid w:val="009B05F3"/>
    <w:rsid w:val="009B060D"/>
    <w:rsid w:val="009B1337"/>
    <w:rsid w:val="009B1975"/>
    <w:rsid w:val="009B1CA4"/>
    <w:rsid w:val="009B288D"/>
    <w:rsid w:val="009B2A5E"/>
    <w:rsid w:val="009B2B61"/>
    <w:rsid w:val="009B2DE2"/>
    <w:rsid w:val="009B3278"/>
    <w:rsid w:val="009B3410"/>
    <w:rsid w:val="009B3658"/>
    <w:rsid w:val="009B43B5"/>
    <w:rsid w:val="009B5037"/>
    <w:rsid w:val="009B5701"/>
    <w:rsid w:val="009B5CBD"/>
    <w:rsid w:val="009B6D8B"/>
    <w:rsid w:val="009B700D"/>
    <w:rsid w:val="009B7132"/>
    <w:rsid w:val="009B7439"/>
    <w:rsid w:val="009B7457"/>
    <w:rsid w:val="009B7778"/>
    <w:rsid w:val="009C0AD6"/>
    <w:rsid w:val="009C1EE3"/>
    <w:rsid w:val="009C2A79"/>
    <w:rsid w:val="009C2BC3"/>
    <w:rsid w:val="009C3BCF"/>
    <w:rsid w:val="009C4226"/>
    <w:rsid w:val="009C4E72"/>
    <w:rsid w:val="009C5BD1"/>
    <w:rsid w:val="009C5CE9"/>
    <w:rsid w:val="009C6323"/>
    <w:rsid w:val="009C6498"/>
    <w:rsid w:val="009C64B5"/>
    <w:rsid w:val="009C6CC9"/>
    <w:rsid w:val="009C732E"/>
    <w:rsid w:val="009D16C7"/>
    <w:rsid w:val="009D19D4"/>
    <w:rsid w:val="009D1CA1"/>
    <w:rsid w:val="009D1CB1"/>
    <w:rsid w:val="009D2034"/>
    <w:rsid w:val="009D241A"/>
    <w:rsid w:val="009D2594"/>
    <w:rsid w:val="009D2DA1"/>
    <w:rsid w:val="009D3A17"/>
    <w:rsid w:val="009D3F18"/>
    <w:rsid w:val="009D471D"/>
    <w:rsid w:val="009D5B02"/>
    <w:rsid w:val="009D5DCB"/>
    <w:rsid w:val="009D6A4D"/>
    <w:rsid w:val="009D6CD8"/>
    <w:rsid w:val="009D7682"/>
    <w:rsid w:val="009E0445"/>
    <w:rsid w:val="009E1F15"/>
    <w:rsid w:val="009E2564"/>
    <w:rsid w:val="009E431A"/>
    <w:rsid w:val="009E4FE1"/>
    <w:rsid w:val="009E5B3E"/>
    <w:rsid w:val="009E5E4A"/>
    <w:rsid w:val="009E5F73"/>
    <w:rsid w:val="009E6B7F"/>
    <w:rsid w:val="009E7A61"/>
    <w:rsid w:val="009E7DC8"/>
    <w:rsid w:val="009F04F2"/>
    <w:rsid w:val="009F06A0"/>
    <w:rsid w:val="009F0BC3"/>
    <w:rsid w:val="009F1930"/>
    <w:rsid w:val="009F2EC2"/>
    <w:rsid w:val="009F31FA"/>
    <w:rsid w:val="009F36A4"/>
    <w:rsid w:val="009F3B82"/>
    <w:rsid w:val="009F4456"/>
    <w:rsid w:val="009F445B"/>
    <w:rsid w:val="009F4DA2"/>
    <w:rsid w:val="009F5428"/>
    <w:rsid w:val="009F6677"/>
    <w:rsid w:val="009F758C"/>
    <w:rsid w:val="009F794A"/>
    <w:rsid w:val="00A0057C"/>
    <w:rsid w:val="00A00C33"/>
    <w:rsid w:val="00A01696"/>
    <w:rsid w:val="00A01C6F"/>
    <w:rsid w:val="00A0238F"/>
    <w:rsid w:val="00A04C55"/>
    <w:rsid w:val="00A051FF"/>
    <w:rsid w:val="00A05E51"/>
    <w:rsid w:val="00A05EBD"/>
    <w:rsid w:val="00A061B1"/>
    <w:rsid w:val="00A063A4"/>
    <w:rsid w:val="00A07A7F"/>
    <w:rsid w:val="00A07CFF"/>
    <w:rsid w:val="00A1041B"/>
    <w:rsid w:val="00A1075D"/>
    <w:rsid w:val="00A13226"/>
    <w:rsid w:val="00A132FE"/>
    <w:rsid w:val="00A138AA"/>
    <w:rsid w:val="00A147D9"/>
    <w:rsid w:val="00A159EC"/>
    <w:rsid w:val="00A15C4E"/>
    <w:rsid w:val="00A16118"/>
    <w:rsid w:val="00A170E6"/>
    <w:rsid w:val="00A17CD1"/>
    <w:rsid w:val="00A20328"/>
    <w:rsid w:val="00A205FA"/>
    <w:rsid w:val="00A20A48"/>
    <w:rsid w:val="00A223CE"/>
    <w:rsid w:val="00A23848"/>
    <w:rsid w:val="00A240D4"/>
    <w:rsid w:val="00A243F1"/>
    <w:rsid w:val="00A245BE"/>
    <w:rsid w:val="00A2495B"/>
    <w:rsid w:val="00A24EF8"/>
    <w:rsid w:val="00A25618"/>
    <w:rsid w:val="00A256E7"/>
    <w:rsid w:val="00A2605C"/>
    <w:rsid w:val="00A2647F"/>
    <w:rsid w:val="00A26BD3"/>
    <w:rsid w:val="00A26FBC"/>
    <w:rsid w:val="00A276CE"/>
    <w:rsid w:val="00A3035A"/>
    <w:rsid w:val="00A30B8E"/>
    <w:rsid w:val="00A31E35"/>
    <w:rsid w:val="00A324EF"/>
    <w:rsid w:val="00A334A5"/>
    <w:rsid w:val="00A334DE"/>
    <w:rsid w:val="00A348F8"/>
    <w:rsid w:val="00A34BF6"/>
    <w:rsid w:val="00A34F7E"/>
    <w:rsid w:val="00A35011"/>
    <w:rsid w:val="00A35A63"/>
    <w:rsid w:val="00A362A5"/>
    <w:rsid w:val="00A364FF"/>
    <w:rsid w:val="00A369E6"/>
    <w:rsid w:val="00A36A7A"/>
    <w:rsid w:val="00A36FDA"/>
    <w:rsid w:val="00A37D48"/>
    <w:rsid w:val="00A40933"/>
    <w:rsid w:val="00A41E3C"/>
    <w:rsid w:val="00A42338"/>
    <w:rsid w:val="00A42592"/>
    <w:rsid w:val="00A427EA"/>
    <w:rsid w:val="00A42D39"/>
    <w:rsid w:val="00A43117"/>
    <w:rsid w:val="00A44551"/>
    <w:rsid w:val="00A44D74"/>
    <w:rsid w:val="00A45341"/>
    <w:rsid w:val="00A463EF"/>
    <w:rsid w:val="00A46417"/>
    <w:rsid w:val="00A466FC"/>
    <w:rsid w:val="00A47D16"/>
    <w:rsid w:val="00A513DF"/>
    <w:rsid w:val="00A51C47"/>
    <w:rsid w:val="00A52F83"/>
    <w:rsid w:val="00A531C1"/>
    <w:rsid w:val="00A53BB7"/>
    <w:rsid w:val="00A53E0F"/>
    <w:rsid w:val="00A5430E"/>
    <w:rsid w:val="00A5526A"/>
    <w:rsid w:val="00A55759"/>
    <w:rsid w:val="00A5582C"/>
    <w:rsid w:val="00A55FD6"/>
    <w:rsid w:val="00A56000"/>
    <w:rsid w:val="00A572E9"/>
    <w:rsid w:val="00A61DB0"/>
    <w:rsid w:val="00A621A6"/>
    <w:rsid w:val="00A62ECA"/>
    <w:rsid w:val="00A634A1"/>
    <w:rsid w:val="00A63A63"/>
    <w:rsid w:val="00A6459F"/>
    <w:rsid w:val="00A64E66"/>
    <w:rsid w:val="00A6550A"/>
    <w:rsid w:val="00A659EF"/>
    <w:rsid w:val="00A65DBD"/>
    <w:rsid w:val="00A660CD"/>
    <w:rsid w:val="00A665F4"/>
    <w:rsid w:val="00A66AB8"/>
    <w:rsid w:val="00A6730E"/>
    <w:rsid w:val="00A67517"/>
    <w:rsid w:val="00A67CF6"/>
    <w:rsid w:val="00A67D50"/>
    <w:rsid w:val="00A7013C"/>
    <w:rsid w:val="00A71712"/>
    <w:rsid w:val="00A71E7A"/>
    <w:rsid w:val="00A7213E"/>
    <w:rsid w:val="00A7300F"/>
    <w:rsid w:val="00A73024"/>
    <w:rsid w:val="00A750CB"/>
    <w:rsid w:val="00A753AA"/>
    <w:rsid w:val="00A75839"/>
    <w:rsid w:val="00A75B4F"/>
    <w:rsid w:val="00A75C06"/>
    <w:rsid w:val="00A76686"/>
    <w:rsid w:val="00A76B4E"/>
    <w:rsid w:val="00A76BA7"/>
    <w:rsid w:val="00A814F8"/>
    <w:rsid w:val="00A83427"/>
    <w:rsid w:val="00A839CB"/>
    <w:rsid w:val="00A843BF"/>
    <w:rsid w:val="00A84B7B"/>
    <w:rsid w:val="00A85C62"/>
    <w:rsid w:val="00A86411"/>
    <w:rsid w:val="00A86C11"/>
    <w:rsid w:val="00A86E8E"/>
    <w:rsid w:val="00A87E0D"/>
    <w:rsid w:val="00A906F2"/>
    <w:rsid w:val="00A9080C"/>
    <w:rsid w:val="00A914B6"/>
    <w:rsid w:val="00A9288F"/>
    <w:rsid w:val="00A939DC"/>
    <w:rsid w:val="00A9442C"/>
    <w:rsid w:val="00A959CE"/>
    <w:rsid w:val="00A95BAF"/>
    <w:rsid w:val="00A9625A"/>
    <w:rsid w:val="00A97144"/>
    <w:rsid w:val="00A97AC6"/>
    <w:rsid w:val="00A97E62"/>
    <w:rsid w:val="00AA030C"/>
    <w:rsid w:val="00AA0AF0"/>
    <w:rsid w:val="00AA0C72"/>
    <w:rsid w:val="00AA11ED"/>
    <w:rsid w:val="00AA1B2F"/>
    <w:rsid w:val="00AA354D"/>
    <w:rsid w:val="00AA3891"/>
    <w:rsid w:val="00AA3B57"/>
    <w:rsid w:val="00AA3D46"/>
    <w:rsid w:val="00AA3FE0"/>
    <w:rsid w:val="00AA424B"/>
    <w:rsid w:val="00AA4BF2"/>
    <w:rsid w:val="00AA4DA1"/>
    <w:rsid w:val="00AA6049"/>
    <w:rsid w:val="00AA61F3"/>
    <w:rsid w:val="00AA73C5"/>
    <w:rsid w:val="00AB0276"/>
    <w:rsid w:val="00AB0446"/>
    <w:rsid w:val="00AB0AFC"/>
    <w:rsid w:val="00AB0B65"/>
    <w:rsid w:val="00AB0C08"/>
    <w:rsid w:val="00AB0F74"/>
    <w:rsid w:val="00AB1DDB"/>
    <w:rsid w:val="00AB1F53"/>
    <w:rsid w:val="00AB314F"/>
    <w:rsid w:val="00AB47D2"/>
    <w:rsid w:val="00AB4F71"/>
    <w:rsid w:val="00AB5012"/>
    <w:rsid w:val="00AB5448"/>
    <w:rsid w:val="00AB710B"/>
    <w:rsid w:val="00AB73C6"/>
    <w:rsid w:val="00AB7B56"/>
    <w:rsid w:val="00AC0E61"/>
    <w:rsid w:val="00AC17D0"/>
    <w:rsid w:val="00AC1CBB"/>
    <w:rsid w:val="00AC2A61"/>
    <w:rsid w:val="00AC3281"/>
    <w:rsid w:val="00AC3909"/>
    <w:rsid w:val="00AC39F4"/>
    <w:rsid w:val="00AC3D40"/>
    <w:rsid w:val="00AC3F74"/>
    <w:rsid w:val="00AC4051"/>
    <w:rsid w:val="00AC419E"/>
    <w:rsid w:val="00AC4729"/>
    <w:rsid w:val="00AC4FA4"/>
    <w:rsid w:val="00AC5A0C"/>
    <w:rsid w:val="00AC5E10"/>
    <w:rsid w:val="00AC5ED4"/>
    <w:rsid w:val="00AC6001"/>
    <w:rsid w:val="00AC67A6"/>
    <w:rsid w:val="00AC6852"/>
    <w:rsid w:val="00AC74FE"/>
    <w:rsid w:val="00AC78E7"/>
    <w:rsid w:val="00AC7B4F"/>
    <w:rsid w:val="00AD096F"/>
    <w:rsid w:val="00AD0ABC"/>
    <w:rsid w:val="00AD24BC"/>
    <w:rsid w:val="00AD2674"/>
    <w:rsid w:val="00AD29B3"/>
    <w:rsid w:val="00AD2CFD"/>
    <w:rsid w:val="00AD33BD"/>
    <w:rsid w:val="00AD3B52"/>
    <w:rsid w:val="00AD3CFA"/>
    <w:rsid w:val="00AD3FED"/>
    <w:rsid w:val="00AD5BFB"/>
    <w:rsid w:val="00AD6A0D"/>
    <w:rsid w:val="00AD6D7F"/>
    <w:rsid w:val="00AD6F65"/>
    <w:rsid w:val="00AD74C2"/>
    <w:rsid w:val="00AD7686"/>
    <w:rsid w:val="00AE061B"/>
    <w:rsid w:val="00AE0F36"/>
    <w:rsid w:val="00AE1913"/>
    <w:rsid w:val="00AE2B24"/>
    <w:rsid w:val="00AE3179"/>
    <w:rsid w:val="00AE47C5"/>
    <w:rsid w:val="00AE546C"/>
    <w:rsid w:val="00AE55CA"/>
    <w:rsid w:val="00AE66A9"/>
    <w:rsid w:val="00AE68A5"/>
    <w:rsid w:val="00AF05BC"/>
    <w:rsid w:val="00AF08B8"/>
    <w:rsid w:val="00AF0917"/>
    <w:rsid w:val="00AF1383"/>
    <w:rsid w:val="00AF1F73"/>
    <w:rsid w:val="00AF2C46"/>
    <w:rsid w:val="00AF33BE"/>
    <w:rsid w:val="00AF343B"/>
    <w:rsid w:val="00AF3D97"/>
    <w:rsid w:val="00AF41D3"/>
    <w:rsid w:val="00AF5894"/>
    <w:rsid w:val="00AF5BE6"/>
    <w:rsid w:val="00AF6005"/>
    <w:rsid w:val="00AF6612"/>
    <w:rsid w:val="00AF6704"/>
    <w:rsid w:val="00AF69BF"/>
    <w:rsid w:val="00AF6BB7"/>
    <w:rsid w:val="00AF73F8"/>
    <w:rsid w:val="00AF7FFB"/>
    <w:rsid w:val="00B000F4"/>
    <w:rsid w:val="00B0059C"/>
    <w:rsid w:val="00B0077E"/>
    <w:rsid w:val="00B00D8E"/>
    <w:rsid w:val="00B01A00"/>
    <w:rsid w:val="00B02075"/>
    <w:rsid w:val="00B027ED"/>
    <w:rsid w:val="00B03E7A"/>
    <w:rsid w:val="00B041CD"/>
    <w:rsid w:val="00B055B1"/>
    <w:rsid w:val="00B056EC"/>
    <w:rsid w:val="00B06E97"/>
    <w:rsid w:val="00B07309"/>
    <w:rsid w:val="00B078B7"/>
    <w:rsid w:val="00B078EB"/>
    <w:rsid w:val="00B0798A"/>
    <w:rsid w:val="00B102AD"/>
    <w:rsid w:val="00B10EBE"/>
    <w:rsid w:val="00B112B9"/>
    <w:rsid w:val="00B1155C"/>
    <w:rsid w:val="00B121A3"/>
    <w:rsid w:val="00B12C21"/>
    <w:rsid w:val="00B13FF1"/>
    <w:rsid w:val="00B140A7"/>
    <w:rsid w:val="00B145F9"/>
    <w:rsid w:val="00B1511F"/>
    <w:rsid w:val="00B17586"/>
    <w:rsid w:val="00B1790F"/>
    <w:rsid w:val="00B179D1"/>
    <w:rsid w:val="00B17EF4"/>
    <w:rsid w:val="00B2009B"/>
    <w:rsid w:val="00B203E5"/>
    <w:rsid w:val="00B20990"/>
    <w:rsid w:val="00B20FB7"/>
    <w:rsid w:val="00B212A5"/>
    <w:rsid w:val="00B2185C"/>
    <w:rsid w:val="00B21BBE"/>
    <w:rsid w:val="00B22189"/>
    <w:rsid w:val="00B22263"/>
    <w:rsid w:val="00B22BCE"/>
    <w:rsid w:val="00B23C22"/>
    <w:rsid w:val="00B24189"/>
    <w:rsid w:val="00B24D35"/>
    <w:rsid w:val="00B258D5"/>
    <w:rsid w:val="00B25DDE"/>
    <w:rsid w:val="00B26208"/>
    <w:rsid w:val="00B262E0"/>
    <w:rsid w:val="00B268E0"/>
    <w:rsid w:val="00B273F1"/>
    <w:rsid w:val="00B308D7"/>
    <w:rsid w:val="00B30E0C"/>
    <w:rsid w:val="00B31566"/>
    <w:rsid w:val="00B316BF"/>
    <w:rsid w:val="00B3244E"/>
    <w:rsid w:val="00B324B2"/>
    <w:rsid w:val="00B32B62"/>
    <w:rsid w:val="00B32B63"/>
    <w:rsid w:val="00B32EB8"/>
    <w:rsid w:val="00B32FDB"/>
    <w:rsid w:val="00B332BC"/>
    <w:rsid w:val="00B33333"/>
    <w:rsid w:val="00B33773"/>
    <w:rsid w:val="00B33D9E"/>
    <w:rsid w:val="00B34BAE"/>
    <w:rsid w:val="00B35156"/>
    <w:rsid w:val="00B35514"/>
    <w:rsid w:val="00B3578B"/>
    <w:rsid w:val="00B35B4D"/>
    <w:rsid w:val="00B36660"/>
    <w:rsid w:val="00B36AC7"/>
    <w:rsid w:val="00B36C83"/>
    <w:rsid w:val="00B36D16"/>
    <w:rsid w:val="00B3760E"/>
    <w:rsid w:val="00B3760F"/>
    <w:rsid w:val="00B416F6"/>
    <w:rsid w:val="00B4241A"/>
    <w:rsid w:val="00B42CF2"/>
    <w:rsid w:val="00B42D99"/>
    <w:rsid w:val="00B430F4"/>
    <w:rsid w:val="00B43F51"/>
    <w:rsid w:val="00B44C63"/>
    <w:rsid w:val="00B44E58"/>
    <w:rsid w:val="00B45477"/>
    <w:rsid w:val="00B460AD"/>
    <w:rsid w:val="00B46C30"/>
    <w:rsid w:val="00B46F79"/>
    <w:rsid w:val="00B4784F"/>
    <w:rsid w:val="00B47BA6"/>
    <w:rsid w:val="00B47BCF"/>
    <w:rsid w:val="00B505AE"/>
    <w:rsid w:val="00B51C32"/>
    <w:rsid w:val="00B52571"/>
    <w:rsid w:val="00B52B45"/>
    <w:rsid w:val="00B52D08"/>
    <w:rsid w:val="00B539E2"/>
    <w:rsid w:val="00B54092"/>
    <w:rsid w:val="00B54B36"/>
    <w:rsid w:val="00B55148"/>
    <w:rsid w:val="00B56CA2"/>
    <w:rsid w:val="00B579D8"/>
    <w:rsid w:val="00B57B6E"/>
    <w:rsid w:val="00B60FFB"/>
    <w:rsid w:val="00B614C8"/>
    <w:rsid w:val="00B61EFB"/>
    <w:rsid w:val="00B62957"/>
    <w:rsid w:val="00B62D23"/>
    <w:rsid w:val="00B63C43"/>
    <w:rsid w:val="00B640FD"/>
    <w:rsid w:val="00B64209"/>
    <w:rsid w:val="00B64968"/>
    <w:rsid w:val="00B650FC"/>
    <w:rsid w:val="00B66147"/>
    <w:rsid w:val="00B661F1"/>
    <w:rsid w:val="00B66DBF"/>
    <w:rsid w:val="00B67C9F"/>
    <w:rsid w:val="00B7032F"/>
    <w:rsid w:val="00B7075D"/>
    <w:rsid w:val="00B70EDE"/>
    <w:rsid w:val="00B70FFD"/>
    <w:rsid w:val="00B71369"/>
    <w:rsid w:val="00B723CE"/>
    <w:rsid w:val="00B72FB7"/>
    <w:rsid w:val="00B73951"/>
    <w:rsid w:val="00B73B7A"/>
    <w:rsid w:val="00B74751"/>
    <w:rsid w:val="00B74A6D"/>
    <w:rsid w:val="00B75FE8"/>
    <w:rsid w:val="00B76666"/>
    <w:rsid w:val="00B773E2"/>
    <w:rsid w:val="00B77686"/>
    <w:rsid w:val="00B82A07"/>
    <w:rsid w:val="00B830CE"/>
    <w:rsid w:val="00B831AD"/>
    <w:rsid w:val="00B83AB3"/>
    <w:rsid w:val="00B844BA"/>
    <w:rsid w:val="00B84996"/>
    <w:rsid w:val="00B85B17"/>
    <w:rsid w:val="00B86B97"/>
    <w:rsid w:val="00B87518"/>
    <w:rsid w:val="00B8779C"/>
    <w:rsid w:val="00B87D41"/>
    <w:rsid w:val="00B87F2E"/>
    <w:rsid w:val="00B90125"/>
    <w:rsid w:val="00B9147B"/>
    <w:rsid w:val="00B92E96"/>
    <w:rsid w:val="00B934FC"/>
    <w:rsid w:val="00B93EA7"/>
    <w:rsid w:val="00B964E0"/>
    <w:rsid w:val="00B9780C"/>
    <w:rsid w:val="00BA0580"/>
    <w:rsid w:val="00BA0A27"/>
    <w:rsid w:val="00BA144B"/>
    <w:rsid w:val="00BA1A14"/>
    <w:rsid w:val="00BA1C00"/>
    <w:rsid w:val="00BA2E9A"/>
    <w:rsid w:val="00BA3478"/>
    <w:rsid w:val="00BA4038"/>
    <w:rsid w:val="00BA47B4"/>
    <w:rsid w:val="00BA5D52"/>
    <w:rsid w:val="00BA5E29"/>
    <w:rsid w:val="00BA5F56"/>
    <w:rsid w:val="00BA6491"/>
    <w:rsid w:val="00BA6635"/>
    <w:rsid w:val="00BA6844"/>
    <w:rsid w:val="00BA6A71"/>
    <w:rsid w:val="00BA6AC0"/>
    <w:rsid w:val="00BA7125"/>
    <w:rsid w:val="00BA7489"/>
    <w:rsid w:val="00BA76D0"/>
    <w:rsid w:val="00BB0362"/>
    <w:rsid w:val="00BB0719"/>
    <w:rsid w:val="00BB0F42"/>
    <w:rsid w:val="00BB1186"/>
    <w:rsid w:val="00BB20B8"/>
    <w:rsid w:val="00BB22F2"/>
    <w:rsid w:val="00BB2B98"/>
    <w:rsid w:val="00BB2E46"/>
    <w:rsid w:val="00BB3DD6"/>
    <w:rsid w:val="00BB3F8D"/>
    <w:rsid w:val="00BB6140"/>
    <w:rsid w:val="00BB6D17"/>
    <w:rsid w:val="00BB6FF7"/>
    <w:rsid w:val="00BB73A9"/>
    <w:rsid w:val="00BC0B72"/>
    <w:rsid w:val="00BC1F8C"/>
    <w:rsid w:val="00BC234E"/>
    <w:rsid w:val="00BC26CF"/>
    <w:rsid w:val="00BC37EA"/>
    <w:rsid w:val="00BC392B"/>
    <w:rsid w:val="00BC3BB6"/>
    <w:rsid w:val="00BC459B"/>
    <w:rsid w:val="00BC4825"/>
    <w:rsid w:val="00BC4A2D"/>
    <w:rsid w:val="00BC4E39"/>
    <w:rsid w:val="00BC5925"/>
    <w:rsid w:val="00BC5B19"/>
    <w:rsid w:val="00BC682D"/>
    <w:rsid w:val="00BC7BBF"/>
    <w:rsid w:val="00BC7DCD"/>
    <w:rsid w:val="00BC7F9F"/>
    <w:rsid w:val="00BD03F9"/>
    <w:rsid w:val="00BD04F5"/>
    <w:rsid w:val="00BD0727"/>
    <w:rsid w:val="00BD1203"/>
    <w:rsid w:val="00BD29AA"/>
    <w:rsid w:val="00BD29CE"/>
    <w:rsid w:val="00BD2C4B"/>
    <w:rsid w:val="00BD2E52"/>
    <w:rsid w:val="00BD3334"/>
    <w:rsid w:val="00BD4450"/>
    <w:rsid w:val="00BD4669"/>
    <w:rsid w:val="00BD4B45"/>
    <w:rsid w:val="00BD516B"/>
    <w:rsid w:val="00BD56AA"/>
    <w:rsid w:val="00BD5A9D"/>
    <w:rsid w:val="00BD5BDD"/>
    <w:rsid w:val="00BD5D0B"/>
    <w:rsid w:val="00BD5FB9"/>
    <w:rsid w:val="00BD6396"/>
    <w:rsid w:val="00BD6408"/>
    <w:rsid w:val="00BD644A"/>
    <w:rsid w:val="00BD71AB"/>
    <w:rsid w:val="00BD79CD"/>
    <w:rsid w:val="00BD7A26"/>
    <w:rsid w:val="00BD7B48"/>
    <w:rsid w:val="00BE06E8"/>
    <w:rsid w:val="00BE086A"/>
    <w:rsid w:val="00BE16C3"/>
    <w:rsid w:val="00BE1CF6"/>
    <w:rsid w:val="00BE1FFA"/>
    <w:rsid w:val="00BE248A"/>
    <w:rsid w:val="00BE268B"/>
    <w:rsid w:val="00BE2FED"/>
    <w:rsid w:val="00BE3561"/>
    <w:rsid w:val="00BE3A1A"/>
    <w:rsid w:val="00BE3BB6"/>
    <w:rsid w:val="00BE3CA3"/>
    <w:rsid w:val="00BE463D"/>
    <w:rsid w:val="00BE545D"/>
    <w:rsid w:val="00BE597B"/>
    <w:rsid w:val="00BE5AD5"/>
    <w:rsid w:val="00BE5DEE"/>
    <w:rsid w:val="00BE6731"/>
    <w:rsid w:val="00BE7489"/>
    <w:rsid w:val="00BF012E"/>
    <w:rsid w:val="00BF099E"/>
    <w:rsid w:val="00BF0A98"/>
    <w:rsid w:val="00BF16AB"/>
    <w:rsid w:val="00BF1B80"/>
    <w:rsid w:val="00BF22CB"/>
    <w:rsid w:val="00BF24C8"/>
    <w:rsid w:val="00BF2D10"/>
    <w:rsid w:val="00BF3DBD"/>
    <w:rsid w:val="00BF414E"/>
    <w:rsid w:val="00BF49FB"/>
    <w:rsid w:val="00BF5A67"/>
    <w:rsid w:val="00BF5AA9"/>
    <w:rsid w:val="00BF629C"/>
    <w:rsid w:val="00BF6A6F"/>
    <w:rsid w:val="00BF748A"/>
    <w:rsid w:val="00BF7603"/>
    <w:rsid w:val="00BF7AC2"/>
    <w:rsid w:val="00BF7F6D"/>
    <w:rsid w:val="00C00061"/>
    <w:rsid w:val="00C00351"/>
    <w:rsid w:val="00C00A81"/>
    <w:rsid w:val="00C0147C"/>
    <w:rsid w:val="00C0166D"/>
    <w:rsid w:val="00C01768"/>
    <w:rsid w:val="00C01982"/>
    <w:rsid w:val="00C01BAD"/>
    <w:rsid w:val="00C01BB3"/>
    <w:rsid w:val="00C02A86"/>
    <w:rsid w:val="00C046B7"/>
    <w:rsid w:val="00C0508B"/>
    <w:rsid w:val="00C05EC8"/>
    <w:rsid w:val="00C060F5"/>
    <w:rsid w:val="00C063BD"/>
    <w:rsid w:val="00C067DD"/>
    <w:rsid w:val="00C0752F"/>
    <w:rsid w:val="00C07A79"/>
    <w:rsid w:val="00C1155E"/>
    <w:rsid w:val="00C117DF"/>
    <w:rsid w:val="00C11875"/>
    <w:rsid w:val="00C11E8B"/>
    <w:rsid w:val="00C125ED"/>
    <w:rsid w:val="00C137E5"/>
    <w:rsid w:val="00C13F8E"/>
    <w:rsid w:val="00C14947"/>
    <w:rsid w:val="00C14B37"/>
    <w:rsid w:val="00C156F4"/>
    <w:rsid w:val="00C15D28"/>
    <w:rsid w:val="00C16131"/>
    <w:rsid w:val="00C17851"/>
    <w:rsid w:val="00C179EA"/>
    <w:rsid w:val="00C20247"/>
    <w:rsid w:val="00C2026F"/>
    <w:rsid w:val="00C20C41"/>
    <w:rsid w:val="00C212B4"/>
    <w:rsid w:val="00C2176A"/>
    <w:rsid w:val="00C21C31"/>
    <w:rsid w:val="00C2404E"/>
    <w:rsid w:val="00C24609"/>
    <w:rsid w:val="00C24969"/>
    <w:rsid w:val="00C249F3"/>
    <w:rsid w:val="00C24FFE"/>
    <w:rsid w:val="00C259EF"/>
    <w:rsid w:val="00C2606B"/>
    <w:rsid w:val="00C26FFB"/>
    <w:rsid w:val="00C3032C"/>
    <w:rsid w:val="00C305E7"/>
    <w:rsid w:val="00C320BA"/>
    <w:rsid w:val="00C323CA"/>
    <w:rsid w:val="00C328EA"/>
    <w:rsid w:val="00C335E3"/>
    <w:rsid w:val="00C33E0D"/>
    <w:rsid w:val="00C34051"/>
    <w:rsid w:val="00C355F9"/>
    <w:rsid w:val="00C36623"/>
    <w:rsid w:val="00C36E0D"/>
    <w:rsid w:val="00C36EB9"/>
    <w:rsid w:val="00C37354"/>
    <w:rsid w:val="00C379A6"/>
    <w:rsid w:val="00C4012F"/>
    <w:rsid w:val="00C426BB"/>
    <w:rsid w:val="00C427AF"/>
    <w:rsid w:val="00C42BAE"/>
    <w:rsid w:val="00C42D25"/>
    <w:rsid w:val="00C43E62"/>
    <w:rsid w:val="00C447E8"/>
    <w:rsid w:val="00C44926"/>
    <w:rsid w:val="00C44CA7"/>
    <w:rsid w:val="00C46054"/>
    <w:rsid w:val="00C4634D"/>
    <w:rsid w:val="00C4701D"/>
    <w:rsid w:val="00C479E6"/>
    <w:rsid w:val="00C5029A"/>
    <w:rsid w:val="00C50A8E"/>
    <w:rsid w:val="00C50D92"/>
    <w:rsid w:val="00C51017"/>
    <w:rsid w:val="00C51348"/>
    <w:rsid w:val="00C513A1"/>
    <w:rsid w:val="00C51EF0"/>
    <w:rsid w:val="00C5205F"/>
    <w:rsid w:val="00C52F00"/>
    <w:rsid w:val="00C535AF"/>
    <w:rsid w:val="00C54934"/>
    <w:rsid w:val="00C55C31"/>
    <w:rsid w:val="00C56230"/>
    <w:rsid w:val="00C56CF7"/>
    <w:rsid w:val="00C574F9"/>
    <w:rsid w:val="00C57D9D"/>
    <w:rsid w:val="00C60186"/>
    <w:rsid w:val="00C60324"/>
    <w:rsid w:val="00C60A18"/>
    <w:rsid w:val="00C60D42"/>
    <w:rsid w:val="00C61B58"/>
    <w:rsid w:val="00C61CF0"/>
    <w:rsid w:val="00C62180"/>
    <w:rsid w:val="00C62A7A"/>
    <w:rsid w:val="00C62DCB"/>
    <w:rsid w:val="00C633F0"/>
    <w:rsid w:val="00C636E1"/>
    <w:rsid w:val="00C63CE6"/>
    <w:rsid w:val="00C644FF"/>
    <w:rsid w:val="00C646E0"/>
    <w:rsid w:val="00C664A8"/>
    <w:rsid w:val="00C67A71"/>
    <w:rsid w:val="00C67CAB"/>
    <w:rsid w:val="00C70095"/>
    <w:rsid w:val="00C708CA"/>
    <w:rsid w:val="00C714BF"/>
    <w:rsid w:val="00C7183E"/>
    <w:rsid w:val="00C71BD5"/>
    <w:rsid w:val="00C722AA"/>
    <w:rsid w:val="00C72AA1"/>
    <w:rsid w:val="00C72EDC"/>
    <w:rsid w:val="00C7314E"/>
    <w:rsid w:val="00C73879"/>
    <w:rsid w:val="00C73C4A"/>
    <w:rsid w:val="00C741E5"/>
    <w:rsid w:val="00C75E60"/>
    <w:rsid w:val="00C764A1"/>
    <w:rsid w:val="00C77834"/>
    <w:rsid w:val="00C77FA4"/>
    <w:rsid w:val="00C80AAF"/>
    <w:rsid w:val="00C8145E"/>
    <w:rsid w:val="00C82094"/>
    <w:rsid w:val="00C827DB"/>
    <w:rsid w:val="00C828FC"/>
    <w:rsid w:val="00C82944"/>
    <w:rsid w:val="00C832CA"/>
    <w:rsid w:val="00C836F8"/>
    <w:rsid w:val="00C839FA"/>
    <w:rsid w:val="00C8460F"/>
    <w:rsid w:val="00C84C52"/>
    <w:rsid w:val="00C86CCA"/>
    <w:rsid w:val="00C87535"/>
    <w:rsid w:val="00C878CE"/>
    <w:rsid w:val="00C906BF"/>
    <w:rsid w:val="00C90C94"/>
    <w:rsid w:val="00C90C97"/>
    <w:rsid w:val="00C91315"/>
    <w:rsid w:val="00C91E16"/>
    <w:rsid w:val="00C920E0"/>
    <w:rsid w:val="00C9274E"/>
    <w:rsid w:val="00C92BEB"/>
    <w:rsid w:val="00C92E3D"/>
    <w:rsid w:val="00C93642"/>
    <w:rsid w:val="00C93BDB"/>
    <w:rsid w:val="00C9497F"/>
    <w:rsid w:val="00C9581F"/>
    <w:rsid w:val="00C95A12"/>
    <w:rsid w:val="00C95B44"/>
    <w:rsid w:val="00C96E00"/>
    <w:rsid w:val="00C97220"/>
    <w:rsid w:val="00C9779E"/>
    <w:rsid w:val="00C977AF"/>
    <w:rsid w:val="00C97AC0"/>
    <w:rsid w:val="00C97CE1"/>
    <w:rsid w:val="00CA0677"/>
    <w:rsid w:val="00CA07CA"/>
    <w:rsid w:val="00CA0D09"/>
    <w:rsid w:val="00CA2AE9"/>
    <w:rsid w:val="00CA2B74"/>
    <w:rsid w:val="00CA4770"/>
    <w:rsid w:val="00CA493F"/>
    <w:rsid w:val="00CA5511"/>
    <w:rsid w:val="00CA65EE"/>
    <w:rsid w:val="00CA75A9"/>
    <w:rsid w:val="00CB11B0"/>
    <w:rsid w:val="00CB1AE5"/>
    <w:rsid w:val="00CB2200"/>
    <w:rsid w:val="00CB3059"/>
    <w:rsid w:val="00CB3750"/>
    <w:rsid w:val="00CB3DF1"/>
    <w:rsid w:val="00CB436C"/>
    <w:rsid w:val="00CB4760"/>
    <w:rsid w:val="00CB4D7C"/>
    <w:rsid w:val="00CB523B"/>
    <w:rsid w:val="00CB56BA"/>
    <w:rsid w:val="00CB581A"/>
    <w:rsid w:val="00CB6B8E"/>
    <w:rsid w:val="00CC0BED"/>
    <w:rsid w:val="00CC0D92"/>
    <w:rsid w:val="00CC0DCB"/>
    <w:rsid w:val="00CC11FE"/>
    <w:rsid w:val="00CC152F"/>
    <w:rsid w:val="00CC2C79"/>
    <w:rsid w:val="00CC2C7B"/>
    <w:rsid w:val="00CC35BC"/>
    <w:rsid w:val="00CC3CEB"/>
    <w:rsid w:val="00CC4C8A"/>
    <w:rsid w:val="00CC5066"/>
    <w:rsid w:val="00CC525E"/>
    <w:rsid w:val="00CC56CA"/>
    <w:rsid w:val="00CC56D4"/>
    <w:rsid w:val="00CC56FB"/>
    <w:rsid w:val="00CC5A24"/>
    <w:rsid w:val="00CC62C8"/>
    <w:rsid w:val="00CC645B"/>
    <w:rsid w:val="00CC6602"/>
    <w:rsid w:val="00CD023D"/>
    <w:rsid w:val="00CD0380"/>
    <w:rsid w:val="00CD0FD5"/>
    <w:rsid w:val="00CD2105"/>
    <w:rsid w:val="00CD22A8"/>
    <w:rsid w:val="00CD3DC0"/>
    <w:rsid w:val="00CD4407"/>
    <w:rsid w:val="00CD48D1"/>
    <w:rsid w:val="00CD5D21"/>
    <w:rsid w:val="00CD5D8E"/>
    <w:rsid w:val="00CD616B"/>
    <w:rsid w:val="00CD6C07"/>
    <w:rsid w:val="00CD6E31"/>
    <w:rsid w:val="00CE07B4"/>
    <w:rsid w:val="00CE0AEF"/>
    <w:rsid w:val="00CE0E6E"/>
    <w:rsid w:val="00CE57A5"/>
    <w:rsid w:val="00CE612A"/>
    <w:rsid w:val="00CE661C"/>
    <w:rsid w:val="00CE6D9F"/>
    <w:rsid w:val="00CE6E74"/>
    <w:rsid w:val="00CE6EFD"/>
    <w:rsid w:val="00CE7CB6"/>
    <w:rsid w:val="00CF055A"/>
    <w:rsid w:val="00CF0E74"/>
    <w:rsid w:val="00CF2331"/>
    <w:rsid w:val="00CF30B1"/>
    <w:rsid w:val="00CF441B"/>
    <w:rsid w:val="00CF44B9"/>
    <w:rsid w:val="00CF4816"/>
    <w:rsid w:val="00CF4822"/>
    <w:rsid w:val="00CF4C0C"/>
    <w:rsid w:val="00CF5B68"/>
    <w:rsid w:val="00CF64D4"/>
    <w:rsid w:val="00CF6783"/>
    <w:rsid w:val="00CF74D5"/>
    <w:rsid w:val="00D004F4"/>
    <w:rsid w:val="00D006CE"/>
    <w:rsid w:val="00D01237"/>
    <w:rsid w:val="00D01AFA"/>
    <w:rsid w:val="00D0268C"/>
    <w:rsid w:val="00D0276B"/>
    <w:rsid w:val="00D04030"/>
    <w:rsid w:val="00D05191"/>
    <w:rsid w:val="00D05621"/>
    <w:rsid w:val="00D05A3A"/>
    <w:rsid w:val="00D05A7A"/>
    <w:rsid w:val="00D06085"/>
    <w:rsid w:val="00D063F2"/>
    <w:rsid w:val="00D0679C"/>
    <w:rsid w:val="00D0725F"/>
    <w:rsid w:val="00D074F7"/>
    <w:rsid w:val="00D07952"/>
    <w:rsid w:val="00D1015D"/>
    <w:rsid w:val="00D103F3"/>
    <w:rsid w:val="00D10A0D"/>
    <w:rsid w:val="00D12A92"/>
    <w:rsid w:val="00D1327D"/>
    <w:rsid w:val="00D14B55"/>
    <w:rsid w:val="00D15E5F"/>
    <w:rsid w:val="00D201A3"/>
    <w:rsid w:val="00D20392"/>
    <w:rsid w:val="00D220EF"/>
    <w:rsid w:val="00D22261"/>
    <w:rsid w:val="00D2273E"/>
    <w:rsid w:val="00D22B1D"/>
    <w:rsid w:val="00D2386E"/>
    <w:rsid w:val="00D259B3"/>
    <w:rsid w:val="00D270E2"/>
    <w:rsid w:val="00D27CCB"/>
    <w:rsid w:val="00D3072F"/>
    <w:rsid w:val="00D3165B"/>
    <w:rsid w:val="00D318C4"/>
    <w:rsid w:val="00D32467"/>
    <w:rsid w:val="00D3470D"/>
    <w:rsid w:val="00D35182"/>
    <w:rsid w:val="00D3557B"/>
    <w:rsid w:val="00D35952"/>
    <w:rsid w:val="00D3616D"/>
    <w:rsid w:val="00D36EC9"/>
    <w:rsid w:val="00D37239"/>
    <w:rsid w:val="00D404E2"/>
    <w:rsid w:val="00D40BBF"/>
    <w:rsid w:val="00D40C2A"/>
    <w:rsid w:val="00D412E3"/>
    <w:rsid w:val="00D41CFA"/>
    <w:rsid w:val="00D42353"/>
    <w:rsid w:val="00D4259E"/>
    <w:rsid w:val="00D4279F"/>
    <w:rsid w:val="00D42E6D"/>
    <w:rsid w:val="00D443B3"/>
    <w:rsid w:val="00D445BF"/>
    <w:rsid w:val="00D4475B"/>
    <w:rsid w:val="00D44A14"/>
    <w:rsid w:val="00D44E45"/>
    <w:rsid w:val="00D475C4"/>
    <w:rsid w:val="00D5062C"/>
    <w:rsid w:val="00D50FB0"/>
    <w:rsid w:val="00D511DB"/>
    <w:rsid w:val="00D51716"/>
    <w:rsid w:val="00D517FE"/>
    <w:rsid w:val="00D51AC2"/>
    <w:rsid w:val="00D51CA1"/>
    <w:rsid w:val="00D51D7E"/>
    <w:rsid w:val="00D51E97"/>
    <w:rsid w:val="00D520E6"/>
    <w:rsid w:val="00D521F0"/>
    <w:rsid w:val="00D52303"/>
    <w:rsid w:val="00D523C6"/>
    <w:rsid w:val="00D52645"/>
    <w:rsid w:val="00D5266C"/>
    <w:rsid w:val="00D532EF"/>
    <w:rsid w:val="00D53B7B"/>
    <w:rsid w:val="00D5428C"/>
    <w:rsid w:val="00D54F77"/>
    <w:rsid w:val="00D55059"/>
    <w:rsid w:val="00D5596E"/>
    <w:rsid w:val="00D55A68"/>
    <w:rsid w:val="00D56471"/>
    <w:rsid w:val="00D56C4C"/>
    <w:rsid w:val="00D572ED"/>
    <w:rsid w:val="00D57D4F"/>
    <w:rsid w:val="00D602F3"/>
    <w:rsid w:val="00D60971"/>
    <w:rsid w:val="00D60AED"/>
    <w:rsid w:val="00D60CDD"/>
    <w:rsid w:val="00D61198"/>
    <w:rsid w:val="00D61D7C"/>
    <w:rsid w:val="00D626E2"/>
    <w:rsid w:val="00D62DCF"/>
    <w:rsid w:val="00D62F29"/>
    <w:rsid w:val="00D63EEB"/>
    <w:rsid w:val="00D6426C"/>
    <w:rsid w:val="00D64AB8"/>
    <w:rsid w:val="00D66174"/>
    <w:rsid w:val="00D66DEE"/>
    <w:rsid w:val="00D67A48"/>
    <w:rsid w:val="00D70DCE"/>
    <w:rsid w:val="00D712E9"/>
    <w:rsid w:val="00D72AB8"/>
    <w:rsid w:val="00D737AC"/>
    <w:rsid w:val="00D74184"/>
    <w:rsid w:val="00D74833"/>
    <w:rsid w:val="00D7615A"/>
    <w:rsid w:val="00D76BFE"/>
    <w:rsid w:val="00D76D40"/>
    <w:rsid w:val="00D77FCB"/>
    <w:rsid w:val="00D81279"/>
    <w:rsid w:val="00D81809"/>
    <w:rsid w:val="00D830FD"/>
    <w:rsid w:val="00D85649"/>
    <w:rsid w:val="00D86086"/>
    <w:rsid w:val="00D86638"/>
    <w:rsid w:val="00D873AC"/>
    <w:rsid w:val="00D875BE"/>
    <w:rsid w:val="00D8777F"/>
    <w:rsid w:val="00D90B8F"/>
    <w:rsid w:val="00D92B49"/>
    <w:rsid w:val="00D92C44"/>
    <w:rsid w:val="00D92D29"/>
    <w:rsid w:val="00D92D71"/>
    <w:rsid w:val="00D93049"/>
    <w:rsid w:val="00D9306E"/>
    <w:rsid w:val="00D93334"/>
    <w:rsid w:val="00D935FB"/>
    <w:rsid w:val="00D93A76"/>
    <w:rsid w:val="00D948A1"/>
    <w:rsid w:val="00D94CB4"/>
    <w:rsid w:val="00D9560B"/>
    <w:rsid w:val="00D978A1"/>
    <w:rsid w:val="00D97DB7"/>
    <w:rsid w:val="00D97F34"/>
    <w:rsid w:val="00DA0AAD"/>
    <w:rsid w:val="00DA2AE8"/>
    <w:rsid w:val="00DA2F54"/>
    <w:rsid w:val="00DA472D"/>
    <w:rsid w:val="00DA4E49"/>
    <w:rsid w:val="00DA520B"/>
    <w:rsid w:val="00DA5C86"/>
    <w:rsid w:val="00DA6646"/>
    <w:rsid w:val="00DA690B"/>
    <w:rsid w:val="00DA6F35"/>
    <w:rsid w:val="00DA6F42"/>
    <w:rsid w:val="00DB0311"/>
    <w:rsid w:val="00DB12B1"/>
    <w:rsid w:val="00DB1786"/>
    <w:rsid w:val="00DB1C59"/>
    <w:rsid w:val="00DB2AFE"/>
    <w:rsid w:val="00DB2E99"/>
    <w:rsid w:val="00DB3B04"/>
    <w:rsid w:val="00DB520B"/>
    <w:rsid w:val="00DB5B2D"/>
    <w:rsid w:val="00DB681C"/>
    <w:rsid w:val="00DB69B4"/>
    <w:rsid w:val="00DB6D41"/>
    <w:rsid w:val="00DB6EED"/>
    <w:rsid w:val="00DB74B5"/>
    <w:rsid w:val="00DB7671"/>
    <w:rsid w:val="00DB7FC7"/>
    <w:rsid w:val="00DC09EC"/>
    <w:rsid w:val="00DC0ACF"/>
    <w:rsid w:val="00DC16F4"/>
    <w:rsid w:val="00DC1855"/>
    <w:rsid w:val="00DC3003"/>
    <w:rsid w:val="00DC35F1"/>
    <w:rsid w:val="00DC3B07"/>
    <w:rsid w:val="00DC3DC2"/>
    <w:rsid w:val="00DC3FEC"/>
    <w:rsid w:val="00DC4096"/>
    <w:rsid w:val="00DC56FA"/>
    <w:rsid w:val="00DC5984"/>
    <w:rsid w:val="00DC613F"/>
    <w:rsid w:val="00DC64F0"/>
    <w:rsid w:val="00DC65A8"/>
    <w:rsid w:val="00DC7AF1"/>
    <w:rsid w:val="00DD0D20"/>
    <w:rsid w:val="00DD1393"/>
    <w:rsid w:val="00DD188C"/>
    <w:rsid w:val="00DD1BB8"/>
    <w:rsid w:val="00DD1C33"/>
    <w:rsid w:val="00DD4414"/>
    <w:rsid w:val="00DD4789"/>
    <w:rsid w:val="00DD4AFB"/>
    <w:rsid w:val="00DD5802"/>
    <w:rsid w:val="00DD592E"/>
    <w:rsid w:val="00DD7D87"/>
    <w:rsid w:val="00DD7EE8"/>
    <w:rsid w:val="00DE0164"/>
    <w:rsid w:val="00DE01BF"/>
    <w:rsid w:val="00DE16E3"/>
    <w:rsid w:val="00DE1758"/>
    <w:rsid w:val="00DE23E5"/>
    <w:rsid w:val="00DE2559"/>
    <w:rsid w:val="00DE2A94"/>
    <w:rsid w:val="00DE31A0"/>
    <w:rsid w:val="00DE3E03"/>
    <w:rsid w:val="00DE4276"/>
    <w:rsid w:val="00DE43CA"/>
    <w:rsid w:val="00DE455A"/>
    <w:rsid w:val="00DE4961"/>
    <w:rsid w:val="00DE4A2A"/>
    <w:rsid w:val="00DE64A4"/>
    <w:rsid w:val="00DE64F7"/>
    <w:rsid w:val="00DE6BEA"/>
    <w:rsid w:val="00DE7305"/>
    <w:rsid w:val="00DF0D84"/>
    <w:rsid w:val="00DF18D7"/>
    <w:rsid w:val="00DF21E1"/>
    <w:rsid w:val="00DF2C0D"/>
    <w:rsid w:val="00DF2D78"/>
    <w:rsid w:val="00DF2E18"/>
    <w:rsid w:val="00DF489C"/>
    <w:rsid w:val="00DF6DA6"/>
    <w:rsid w:val="00DF7595"/>
    <w:rsid w:val="00DF7F73"/>
    <w:rsid w:val="00E00026"/>
    <w:rsid w:val="00E0014A"/>
    <w:rsid w:val="00E00481"/>
    <w:rsid w:val="00E00641"/>
    <w:rsid w:val="00E00879"/>
    <w:rsid w:val="00E01354"/>
    <w:rsid w:val="00E01F1A"/>
    <w:rsid w:val="00E01FC8"/>
    <w:rsid w:val="00E022D6"/>
    <w:rsid w:val="00E025D8"/>
    <w:rsid w:val="00E02636"/>
    <w:rsid w:val="00E02918"/>
    <w:rsid w:val="00E03149"/>
    <w:rsid w:val="00E0316A"/>
    <w:rsid w:val="00E036B8"/>
    <w:rsid w:val="00E04334"/>
    <w:rsid w:val="00E06424"/>
    <w:rsid w:val="00E065DF"/>
    <w:rsid w:val="00E06B6E"/>
    <w:rsid w:val="00E07D1E"/>
    <w:rsid w:val="00E11302"/>
    <w:rsid w:val="00E113CB"/>
    <w:rsid w:val="00E11DDE"/>
    <w:rsid w:val="00E12E00"/>
    <w:rsid w:val="00E143DC"/>
    <w:rsid w:val="00E14C86"/>
    <w:rsid w:val="00E14FD7"/>
    <w:rsid w:val="00E16122"/>
    <w:rsid w:val="00E16222"/>
    <w:rsid w:val="00E1753A"/>
    <w:rsid w:val="00E202D0"/>
    <w:rsid w:val="00E205E7"/>
    <w:rsid w:val="00E21125"/>
    <w:rsid w:val="00E21659"/>
    <w:rsid w:val="00E21868"/>
    <w:rsid w:val="00E22E79"/>
    <w:rsid w:val="00E23628"/>
    <w:rsid w:val="00E240F5"/>
    <w:rsid w:val="00E24852"/>
    <w:rsid w:val="00E25600"/>
    <w:rsid w:val="00E259D5"/>
    <w:rsid w:val="00E26122"/>
    <w:rsid w:val="00E26247"/>
    <w:rsid w:val="00E27E77"/>
    <w:rsid w:val="00E3045C"/>
    <w:rsid w:val="00E30824"/>
    <w:rsid w:val="00E30AE6"/>
    <w:rsid w:val="00E3116A"/>
    <w:rsid w:val="00E324A4"/>
    <w:rsid w:val="00E3271D"/>
    <w:rsid w:val="00E33923"/>
    <w:rsid w:val="00E33D31"/>
    <w:rsid w:val="00E33F02"/>
    <w:rsid w:val="00E3457C"/>
    <w:rsid w:val="00E346BF"/>
    <w:rsid w:val="00E34700"/>
    <w:rsid w:val="00E34E74"/>
    <w:rsid w:val="00E3652F"/>
    <w:rsid w:val="00E36DFA"/>
    <w:rsid w:val="00E379CB"/>
    <w:rsid w:val="00E37F2D"/>
    <w:rsid w:val="00E41957"/>
    <w:rsid w:val="00E41E4E"/>
    <w:rsid w:val="00E4248A"/>
    <w:rsid w:val="00E4256B"/>
    <w:rsid w:val="00E42E1A"/>
    <w:rsid w:val="00E438B3"/>
    <w:rsid w:val="00E438C3"/>
    <w:rsid w:val="00E43AF6"/>
    <w:rsid w:val="00E43B73"/>
    <w:rsid w:val="00E44739"/>
    <w:rsid w:val="00E45674"/>
    <w:rsid w:val="00E4585E"/>
    <w:rsid w:val="00E4599E"/>
    <w:rsid w:val="00E45E1D"/>
    <w:rsid w:val="00E46121"/>
    <w:rsid w:val="00E46FFC"/>
    <w:rsid w:val="00E47029"/>
    <w:rsid w:val="00E4730D"/>
    <w:rsid w:val="00E474D2"/>
    <w:rsid w:val="00E478F0"/>
    <w:rsid w:val="00E47E50"/>
    <w:rsid w:val="00E522A5"/>
    <w:rsid w:val="00E525C1"/>
    <w:rsid w:val="00E5296C"/>
    <w:rsid w:val="00E530AC"/>
    <w:rsid w:val="00E533C0"/>
    <w:rsid w:val="00E53991"/>
    <w:rsid w:val="00E53A81"/>
    <w:rsid w:val="00E54439"/>
    <w:rsid w:val="00E54486"/>
    <w:rsid w:val="00E546AC"/>
    <w:rsid w:val="00E548D4"/>
    <w:rsid w:val="00E54E92"/>
    <w:rsid w:val="00E552E6"/>
    <w:rsid w:val="00E57841"/>
    <w:rsid w:val="00E5792D"/>
    <w:rsid w:val="00E57B7E"/>
    <w:rsid w:val="00E61B35"/>
    <w:rsid w:val="00E626FA"/>
    <w:rsid w:val="00E632CA"/>
    <w:rsid w:val="00E64181"/>
    <w:rsid w:val="00E6469D"/>
    <w:rsid w:val="00E65A3C"/>
    <w:rsid w:val="00E65D5F"/>
    <w:rsid w:val="00E66B40"/>
    <w:rsid w:val="00E66EE8"/>
    <w:rsid w:val="00E6731C"/>
    <w:rsid w:val="00E67621"/>
    <w:rsid w:val="00E71E2C"/>
    <w:rsid w:val="00E72EC8"/>
    <w:rsid w:val="00E73663"/>
    <w:rsid w:val="00E73A2B"/>
    <w:rsid w:val="00E73ACF"/>
    <w:rsid w:val="00E73C34"/>
    <w:rsid w:val="00E740A6"/>
    <w:rsid w:val="00E74751"/>
    <w:rsid w:val="00E752DF"/>
    <w:rsid w:val="00E756B0"/>
    <w:rsid w:val="00E75A34"/>
    <w:rsid w:val="00E76AC3"/>
    <w:rsid w:val="00E76D4B"/>
    <w:rsid w:val="00E770F1"/>
    <w:rsid w:val="00E778F2"/>
    <w:rsid w:val="00E77AA1"/>
    <w:rsid w:val="00E77C72"/>
    <w:rsid w:val="00E80C0A"/>
    <w:rsid w:val="00E810BB"/>
    <w:rsid w:val="00E81C26"/>
    <w:rsid w:val="00E81E9D"/>
    <w:rsid w:val="00E821AD"/>
    <w:rsid w:val="00E83D8C"/>
    <w:rsid w:val="00E85C4E"/>
    <w:rsid w:val="00E85DF0"/>
    <w:rsid w:val="00E86601"/>
    <w:rsid w:val="00E866B5"/>
    <w:rsid w:val="00E87754"/>
    <w:rsid w:val="00E909B6"/>
    <w:rsid w:val="00E9187A"/>
    <w:rsid w:val="00E91A96"/>
    <w:rsid w:val="00E92A8B"/>
    <w:rsid w:val="00E933C1"/>
    <w:rsid w:val="00E943FA"/>
    <w:rsid w:val="00E950DA"/>
    <w:rsid w:val="00E9549D"/>
    <w:rsid w:val="00E967E4"/>
    <w:rsid w:val="00E96DC5"/>
    <w:rsid w:val="00E978F2"/>
    <w:rsid w:val="00E97A40"/>
    <w:rsid w:val="00E97C67"/>
    <w:rsid w:val="00EA0100"/>
    <w:rsid w:val="00EA13B9"/>
    <w:rsid w:val="00EA1544"/>
    <w:rsid w:val="00EA160F"/>
    <w:rsid w:val="00EA1961"/>
    <w:rsid w:val="00EA207C"/>
    <w:rsid w:val="00EA25EC"/>
    <w:rsid w:val="00EA5710"/>
    <w:rsid w:val="00EA5C6B"/>
    <w:rsid w:val="00EA6365"/>
    <w:rsid w:val="00EA7640"/>
    <w:rsid w:val="00EA7E8F"/>
    <w:rsid w:val="00EA7F9C"/>
    <w:rsid w:val="00EB0472"/>
    <w:rsid w:val="00EB0B21"/>
    <w:rsid w:val="00EB1144"/>
    <w:rsid w:val="00EB161B"/>
    <w:rsid w:val="00EB28E9"/>
    <w:rsid w:val="00EB3278"/>
    <w:rsid w:val="00EB3BFE"/>
    <w:rsid w:val="00EB45C2"/>
    <w:rsid w:val="00EB533E"/>
    <w:rsid w:val="00EB6155"/>
    <w:rsid w:val="00EB6756"/>
    <w:rsid w:val="00EB6D29"/>
    <w:rsid w:val="00EB7294"/>
    <w:rsid w:val="00EB7375"/>
    <w:rsid w:val="00EB74FD"/>
    <w:rsid w:val="00EB7683"/>
    <w:rsid w:val="00EC0421"/>
    <w:rsid w:val="00EC18DB"/>
    <w:rsid w:val="00EC1A48"/>
    <w:rsid w:val="00EC1D68"/>
    <w:rsid w:val="00EC1FF4"/>
    <w:rsid w:val="00EC23BD"/>
    <w:rsid w:val="00EC2459"/>
    <w:rsid w:val="00EC28C3"/>
    <w:rsid w:val="00EC2B46"/>
    <w:rsid w:val="00EC4AE2"/>
    <w:rsid w:val="00EC4CB7"/>
    <w:rsid w:val="00EC54C7"/>
    <w:rsid w:val="00EC6837"/>
    <w:rsid w:val="00EC68CC"/>
    <w:rsid w:val="00EC6D5C"/>
    <w:rsid w:val="00EC6E16"/>
    <w:rsid w:val="00EC7EF5"/>
    <w:rsid w:val="00ED0100"/>
    <w:rsid w:val="00ED01AF"/>
    <w:rsid w:val="00ED05A1"/>
    <w:rsid w:val="00ED0ADC"/>
    <w:rsid w:val="00ED0D91"/>
    <w:rsid w:val="00ED15DD"/>
    <w:rsid w:val="00ED1809"/>
    <w:rsid w:val="00ED2681"/>
    <w:rsid w:val="00ED29B2"/>
    <w:rsid w:val="00ED31B3"/>
    <w:rsid w:val="00ED3CDE"/>
    <w:rsid w:val="00ED3EF6"/>
    <w:rsid w:val="00ED3F0B"/>
    <w:rsid w:val="00ED4E7A"/>
    <w:rsid w:val="00ED51D8"/>
    <w:rsid w:val="00ED5585"/>
    <w:rsid w:val="00ED60CC"/>
    <w:rsid w:val="00ED6396"/>
    <w:rsid w:val="00ED6ACF"/>
    <w:rsid w:val="00ED76F0"/>
    <w:rsid w:val="00ED77B9"/>
    <w:rsid w:val="00ED7950"/>
    <w:rsid w:val="00ED7B16"/>
    <w:rsid w:val="00EE27F5"/>
    <w:rsid w:val="00EE3540"/>
    <w:rsid w:val="00EE38D9"/>
    <w:rsid w:val="00EE42F1"/>
    <w:rsid w:val="00EE4438"/>
    <w:rsid w:val="00EE5201"/>
    <w:rsid w:val="00EE590E"/>
    <w:rsid w:val="00EE5EEF"/>
    <w:rsid w:val="00EE65B0"/>
    <w:rsid w:val="00EE7C22"/>
    <w:rsid w:val="00EE7FC6"/>
    <w:rsid w:val="00EF0666"/>
    <w:rsid w:val="00EF078D"/>
    <w:rsid w:val="00EF0CC8"/>
    <w:rsid w:val="00EF0E66"/>
    <w:rsid w:val="00EF159E"/>
    <w:rsid w:val="00EF1D30"/>
    <w:rsid w:val="00EF26D8"/>
    <w:rsid w:val="00EF2A90"/>
    <w:rsid w:val="00EF30F0"/>
    <w:rsid w:val="00EF3126"/>
    <w:rsid w:val="00EF4856"/>
    <w:rsid w:val="00EF582A"/>
    <w:rsid w:val="00EF7149"/>
    <w:rsid w:val="00EF78A8"/>
    <w:rsid w:val="00EF7FC6"/>
    <w:rsid w:val="00F001FA"/>
    <w:rsid w:val="00F015D2"/>
    <w:rsid w:val="00F03DE9"/>
    <w:rsid w:val="00F041AA"/>
    <w:rsid w:val="00F04A9C"/>
    <w:rsid w:val="00F05703"/>
    <w:rsid w:val="00F05AEC"/>
    <w:rsid w:val="00F067D3"/>
    <w:rsid w:val="00F06FFB"/>
    <w:rsid w:val="00F07079"/>
    <w:rsid w:val="00F076FE"/>
    <w:rsid w:val="00F103C0"/>
    <w:rsid w:val="00F10812"/>
    <w:rsid w:val="00F11FA7"/>
    <w:rsid w:val="00F12191"/>
    <w:rsid w:val="00F1399F"/>
    <w:rsid w:val="00F13DB5"/>
    <w:rsid w:val="00F14514"/>
    <w:rsid w:val="00F14740"/>
    <w:rsid w:val="00F14ABB"/>
    <w:rsid w:val="00F156E2"/>
    <w:rsid w:val="00F15730"/>
    <w:rsid w:val="00F15C6C"/>
    <w:rsid w:val="00F1615D"/>
    <w:rsid w:val="00F1662D"/>
    <w:rsid w:val="00F176D4"/>
    <w:rsid w:val="00F203A6"/>
    <w:rsid w:val="00F20DDA"/>
    <w:rsid w:val="00F20F1A"/>
    <w:rsid w:val="00F21517"/>
    <w:rsid w:val="00F222AD"/>
    <w:rsid w:val="00F23660"/>
    <w:rsid w:val="00F23CAD"/>
    <w:rsid w:val="00F24F62"/>
    <w:rsid w:val="00F25714"/>
    <w:rsid w:val="00F26680"/>
    <w:rsid w:val="00F26886"/>
    <w:rsid w:val="00F268E3"/>
    <w:rsid w:val="00F268FE"/>
    <w:rsid w:val="00F26B81"/>
    <w:rsid w:val="00F30028"/>
    <w:rsid w:val="00F31026"/>
    <w:rsid w:val="00F3113D"/>
    <w:rsid w:val="00F3172B"/>
    <w:rsid w:val="00F31B13"/>
    <w:rsid w:val="00F31C1D"/>
    <w:rsid w:val="00F31E7A"/>
    <w:rsid w:val="00F325AB"/>
    <w:rsid w:val="00F326E8"/>
    <w:rsid w:val="00F32F8E"/>
    <w:rsid w:val="00F33EF9"/>
    <w:rsid w:val="00F341BA"/>
    <w:rsid w:val="00F34DCB"/>
    <w:rsid w:val="00F357FF"/>
    <w:rsid w:val="00F36016"/>
    <w:rsid w:val="00F362BC"/>
    <w:rsid w:val="00F36E92"/>
    <w:rsid w:val="00F37034"/>
    <w:rsid w:val="00F37CA3"/>
    <w:rsid w:val="00F411F3"/>
    <w:rsid w:val="00F4235F"/>
    <w:rsid w:val="00F4291C"/>
    <w:rsid w:val="00F429AA"/>
    <w:rsid w:val="00F43426"/>
    <w:rsid w:val="00F44131"/>
    <w:rsid w:val="00F44283"/>
    <w:rsid w:val="00F4436C"/>
    <w:rsid w:val="00F44C62"/>
    <w:rsid w:val="00F45AA7"/>
    <w:rsid w:val="00F46B53"/>
    <w:rsid w:val="00F46EF2"/>
    <w:rsid w:val="00F47706"/>
    <w:rsid w:val="00F50068"/>
    <w:rsid w:val="00F503CE"/>
    <w:rsid w:val="00F508C5"/>
    <w:rsid w:val="00F50C95"/>
    <w:rsid w:val="00F50D28"/>
    <w:rsid w:val="00F51100"/>
    <w:rsid w:val="00F512CC"/>
    <w:rsid w:val="00F512F1"/>
    <w:rsid w:val="00F518CC"/>
    <w:rsid w:val="00F53ED3"/>
    <w:rsid w:val="00F54A66"/>
    <w:rsid w:val="00F54E59"/>
    <w:rsid w:val="00F55167"/>
    <w:rsid w:val="00F56A4B"/>
    <w:rsid w:val="00F60033"/>
    <w:rsid w:val="00F602B1"/>
    <w:rsid w:val="00F60853"/>
    <w:rsid w:val="00F61059"/>
    <w:rsid w:val="00F612FE"/>
    <w:rsid w:val="00F619CE"/>
    <w:rsid w:val="00F61A73"/>
    <w:rsid w:val="00F62137"/>
    <w:rsid w:val="00F6240D"/>
    <w:rsid w:val="00F62419"/>
    <w:rsid w:val="00F62FA9"/>
    <w:rsid w:val="00F63EA1"/>
    <w:rsid w:val="00F65670"/>
    <w:rsid w:val="00F656DA"/>
    <w:rsid w:val="00F65883"/>
    <w:rsid w:val="00F6648D"/>
    <w:rsid w:val="00F66BBA"/>
    <w:rsid w:val="00F67057"/>
    <w:rsid w:val="00F67465"/>
    <w:rsid w:val="00F6797F"/>
    <w:rsid w:val="00F6799C"/>
    <w:rsid w:val="00F7029D"/>
    <w:rsid w:val="00F708B3"/>
    <w:rsid w:val="00F70BAD"/>
    <w:rsid w:val="00F713FB"/>
    <w:rsid w:val="00F71DB2"/>
    <w:rsid w:val="00F743D6"/>
    <w:rsid w:val="00F756CF"/>
    <w:rsid w:val="00F761F5"/>
    <w:rsid w:val="00F76FAF"/>
    <w:rsid w:val="00F77AD0"/>
    <w:rsid w:val="00F80033"/>
    <w:rsid w:val="00F81863"/>
    <w:rsid w:val="00F8312F"/>
    <w:rsid w:val="00F83874"/>
    <w:rsid w:val="00F838FF"/>
    <w:rsid w:val="00F83DE0"/>
    <w:rsid w:val="00F8400D"/>
    <w:rsid w:val="00F84BEA"/>
    <w:rsid w:val="00F84F00"/>
    <w:rsid w:val="00F85AE4"/>
    <w:rsid w:val="00F91192"/>
    <w:rsid w:val="00F91E43"/>
    <w:rsid w:val="00F92C03"/>
    <w:rsid w:val="00F935A3"/>
    <w:rsid w:val="00F950B2"/>
    <w:rsid w:val="00F95443"/>
    <w:rsid w:val="00F955C5"/>
    <w:rsid w:val="00F95D54"/>
    <w:rsid w:val="00F9662C"/>
    <w:rsid w:val="00FA00AB"/>
    <w:rsid w:val="00FA0179"/>
    <w:rsid w:val="00FA075E"/>
    <w:rsid w:val="00FA0CD3"/>
    <w:rsid w:val="00FA110D"/>
    <w:rsid w:val="00FA1301"/>
    <w:rsid w:val="00FA1F38"/>
    <w:rsid w:val="00FA219B"/>
    <w:rsid w:val="00FA25E2"/>
    <w:rsid w:val="00FA3520"/>
    <w:rsid w:val="00FA3BE1"/>
    <w:rsid w:val="00FA3C57"/>
    <w:rsid w:val="00FA3DCD"/>
    <w:rsid w:val="00FA3F8D"/>
    <w:rsid w:val="00FA47AE"/>
    <w:rsid w:val="00FA52F2"/>
    <w:rsid w:val="00FA5718"/>
    <w:rsid w:val="00FA573A"/>
    <w:rsid w:val="00FA5EAE"/>
    <w:rsid w:val="00FA677E"/>
    <w:rsid w:val="00FA689D"/>
    <w:rsid w:val="00FA6E0C"/>
    <w:rsid w:val="00FA758C"/>
    <w:rsid w:val="00FA79FA"/>
    <w:rsid w:val="00FA7B22"/>
    <w:rsid w:val="00FA7F96"/>
    <w:rsid w:val="00FB0885"/>
    <w:rsid w:val="00FB261F"/>
    <w:rsid w:val="00FB2B3A"/>
    <w:rsid w:val="00FB2F5C"/>
    <w:rsid w:val="00FB362B"/>
    <w:rsid w:val="00FB39C1"/>
    <w:rsid w:val="00FB3C61"/>
    <w:rsid w:val="00FB442F"/>
    <w:rsid w:val="00FB47FC"/>
    <w:rsid w:val="00FB5A5D"/>
    <w:rsid w:val="00FB6646"/>
    <w:rsid w:val="00FB68F3"/>
    <w:rsid w:val="00FB79E4"/>
    <w:rsid w:val="00FB7D69"/>
    <w:rsid w:val="00FC004D"/>
    <w:rsid w:val="00FC084D"/>
    <w:rsid w:val="00FC0A09"/>
    <w:rsid w:val="00FC22F8"/>
    <w:rsid w:val="00FC280B"/>
    <w:rsid w:val="00FC308A"/>
    <w:rsid w:val="00FC31EB"/>
    <w:rsid w:val="00FC4081"/>
    <w:rsid w:val="00FC4264"/>
    <w:rsid w:val="00FC4914"/>
    <w:rsid w:val="00FC4A39"/>
    <w:rsid w:val="00FC4F41"/>
    <w:rsid w:val="00FC524E"/>
    <w:rsid w:val="00FC5554"/>
    <w:rsid w:val="00FC5FC1"/>
    <w:rsid w:val="00FC6289"/>
    <w:rsid w:val="00FC659C"/>
    <w:rsid w:val="00FC73A1"/>
    <w:rsid w:val="00FD0077"/>
    <w:rsid w:val="00FD035A"/>
    <w:rsid w:val="00FD0519"/>
    <w:rsid w:val="00FD1EDB"/>
    <w:rsid w:val="00FD2F69"/>
    <w:rsid w:val="00FD3CE1"/>
    <w:rsid w:val="00FD465D"/>
    <w:rsid w:val="00FD576A"/>
    <w:rsid w:val="00FD6740"/>
    <w:rsid w:val="00FD684C"/>
    <w:rsid w:val="00FD7454"/>
    <w:rsid w:val="00FD758F"/>
    <w:rsid w:val="00FE05C6"/>
    <w:rsid w:val="00FE0F83"/>
    <w:rsid w:val="00FE1516"/>
    <w:rsid w:val="00FE1815"/>
    <w:rsid w:val="00FE3466"/>
    <w:rsid w:val="00FE3599"/>
    <w:rsid w:val="00FE4321"/>
    <w:rsid w:val="00FE511C"/>
    <w:rsid w:val="00FE52BF"/>
    <w:rsid w:val="00FE56D4"/>
    <w:rsid w:val="00FE5D28"/>
    <w:rsid w:val="00FE5DB7"/>
    <w:rsid w:val="00FE6B3E"/>
    <w:rsid w:val="00FE6B98"/>
    <w:rsid w:val="00FE7662"/>
    <w:rsid w:val="00FF0EBB"/>
    <w:rsid w:val="00FF18FA"/>
    <w:rsid w:val="00FF21AA"/>
    <w:rsid w:val="00FF232A"/>
    <w:rsid w:val="00FF259E"/>
    <w:rsid w:val="00FF34C4"/>
    <w:rsid w:val="00FF3910"/>
    <w:rsid w:val="00FF5BAF"/>
    <w:rsid w:val="00FF7197"/>
    <w:rsid w:val="00FF7890"/>
    <w:rsid w:val="00FF7B38"/>
    <w:rsid w:val="00FF7B3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67F64"/>
  <w15:docId w15:val="{96D038B2-0AAA-4171-B94C-D8C0D8A2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951"/>
    <w:pPr>
      <w:spacing w:after="0" w:line="240" w:lineRule="auto"/>
    </w:pPr>
    <w:rPr>
      <w:rFonts w:ascii="Arial" w:hAnsi="Arial"/>
      <w:lang w:val="en-US"/>
    </w:rPr>
  </w:style>
  <w:style w:type="paragraph" w:styleId="Heading1">
    <w:name w:val="heading 1"/>
    <w:basedOn w:val="Normal"/>
    <w:next w:val="Normal"/>
    <w:link w:val="Heading1Char"/>
    <w:uiPriority w:val="9"/>
    <w:qFormat/>
    <w:rsid w:val="0006531E"/>
    <w:pPr>
      <w:keepNext/>
      <w:keepLines/>
      <w:numPr>
        <w:numId w:val="2"/>
      </w:numPr>
      <w:spacing w:before="240"/>
      <w:outlineLvl w:val="0"/>
    </w:pPr>
    <w:rPr>
      <w:rFonts w:eastAsiaTheme="majorEastAsia" w:cstheme="majorBidi"/>
      <w:b/>
      <w:color w:val="0099FF"/>
      <w:sz w:val="24"/>
      <w:szCs w:val="32"/>
      <w:lang w:val="en-GB"/>
    </w:rPr>
  </w:style>
  <w:style w:type="paragraph" w:styleId="Heading2">
    <w:name w:val="heading 2"/>
    <w:basedOn w:val="Normal"/>
    <w:next w:val="Normal"/>
    <w:link w:val="Heading2Char"/>
    <w:uiPriority w:val="9"/>
    <w:unhideWhenUsed/>
    <w:qFormat/>
    <w:rsid w:val="0006531E"/>
    <w:pPr>
      <w:keepNext/>
      <w:keepLines/>
      <w:numPr>
        <w:ilvl w:val="1"/>
        <w:numId w:val="2"/>
      </w:numPr>
      <w:spacing w:before="240" w:after="240" w:line="264" w:lineRule="auto"/>
      <w:outlineLvl w:val="1"/>
    </w:pPr>
    <w:rPr>
      <w:rFonts w:eastAsiaTheme="majorEastAsia" w:cstheme="majorBidi"/>
      <w:b/>
      <w:lang w:val="en-GB"/>
    </w:rPr>
  </w:style>
  <w:style w:type="paragraph" w:styleId="Heading3">
    <w:name w:val="heading 3"/>
    <w:basedOn w:val="Normal"/>
    <w:next w:val="Normal"/>
    <w:link w:val="Heading3Char"/>
    <w:uiPriority w:val="9"/>
    <w:unhideWhenUsed/>
    <w:qFormat/>
    <w:rsid w:val="00CB1AE5"/>
    <w:pPr>
      <w:spacing w:after="120" w:line="264" w:lineRule="auto"/>
      <w:outlineLvl w:val="2"/>
    </w:pPr>
    <w:rPr>
      <w:rFonts w:cs="Arial"/>
      <w:b/>
      <w:bCs/>
      <w:lang w:val="en-GB"/>
    </w:rPr>
  </w:style>
  <w:style w:type="paragraph" w:styleId="Heading4">
    <w:name w:val="heading 4"/>
    <w:basedOn w:val="Normal"/>
    <w:next w:val="Normal"/>
    <w:link w:val="Heading4Char"/>
    <w:uiPriority w:val="9"/>
    <w:unhideWhenUsed/>
    <w:qFormat/>
    <w:rsid w:val="00CB1AE5"/>
    <w:pPr>
      <w:spacing w:after="120" w:line="264" w:lineRule="auto"/>
      <w:outlineLvl w:val="3"/>
    </w:pPr>
    <w:rPr>
      <w:rFonts w:cs="Arial"/>
      <w:i/>
      <w:lang w:val="en-GB"/>
    </w:rPr>
  </w:style>
  <w:style w:type="paragraph" w:styleId="Heading5">
    <w:name w:val="heading 5"/>
    <w:basedOn w:val="Normal"/>
    <w:next w:val="Normal"/>
    <w:link w:val="Heading5Char"/>
    <w:uiPriority w:val="9"/>
    <w:semiHidden/>
    <w:unhideWhenUsed/>
    <w:qFormat/>
    <w:rsid w:val="0006531E"/>
    <w:pPr>
      <w:keepNext/>
      <w:keepLines/>
      <w:spacing w:before="200"/>
      <w:outlineLvl w:val="4"/>
    </w:pPr>
    <w:rPr>
      <w:rFonts w:asciiTheme="majorHAnsi" w:eastAsiaTheme="majorEastAsia" w:hAnsiTheme="majorHAnsi" w:cstheme="majorBidi"/>
      <w:color w:val="004D7E" w:themeColor="accent1" w:themeShade="7F"/>
    </w:rPr>
  </w:style>
  <w:style w:type="paragraph" w:styleId="Heading6">
    <w:name w:val="heading 6"/>
    <w:basedOn w:val="Normal"/>
    <w:next w:val="Normal"/>
    <w:link w:val="Heading6Char"/>
    <w:uiPriority w:val="9"/>
    <w:unhideWhenUsed/>
    <w:qFormat/>
    <w:rsid w:val="002A0A99"/>
    <w:pPr>
      <w:keepNext/>
      <w:keepLines/>
      <w:spacing w:before="40" w:line="276" w:lineRule="auto"/>
      <w:outlineLvl w:val="5"/>
    </w:pPr>
    <w:rPr>
      <w:rFonts w:asciiTheme="majorHAnsi" w:eastAsiaTheme="majorEastAsia" w:hAnsiTheme="majorHAnsi" w:cstheme="majorBidi"/>
      <w:color w:val="004D7E"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01B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06531E"/>
    <w:rPr>
      <w:rFonts w:ascii="Arial" w:eastAsiaTheme="majorEastAsia" w:hAnsi="Arial" w:cstheme="majorBidi"/>
      <w:b/>
      <w:color w:val="0099FF"/>
      <w:sz w:val="24"/>
      <w:szCs w:val="32"/>
    </w:rPr>
  </w:style>
  <w:style w:type="character" w:customStyle="1" w:styleId="Heading2Char">
    <w:name w:val="Heading 2 Char"/>
    <w:basedOn w:val="DefaultParagraphFont"/>
    <w:link w:val="Heading2"/>
    <w:uiPriority w:val="9"/>
    <w:rsid w:val="0006531E"/>
    <w:rPr>
      <w:rFonts w:ascii="Arial" w:eastAsiaTheme="majorEastAsia" w:hAnsi="Arial" w:cstheme="majorBidi"/>
      <w:b/>
    </w:rPr>
  </w:style>
  <w:style w:type="character" w:styleId="Hyperlink">
    <w:name w:val="Hyperlink"/>
    <w:basedOn w:val="DefaultParagraphFont"/>
    <w:uiPriority w:val="99"/>
    <w:unhideWhenUsed/>
    <w:rsid w:val="00C067DD"/>
    <w:rPr>
      <w:color w:val="009740" w:themeColor="hyperlink"/>
      <w:u w:val="single"/>
    </w:rPr>
  </w:style>
  <w:style w:type="paragraph" w:styleId="Header">
    <w:name w:val="header"/>
    <w:basedOn w:val="Normal"/>
    <w:link w:val="HeaderChar"/>
    <w:uiPriority w:val="99"/>
    <w:unhideWhenUsed/>
    <w:rsid w:val="00C02A86"/>
    <w:pPr>
      <w:tabs>
        <w:tab w:val="center" w:pos="4680"/>
        <w:tab w:val="right" w:pos="9360"/>
      </w:tabs>
    </w:pPr>
  </w:style>
  <w:style w:type="character" w:customStyle="1" w:styleId="HeaderChar">
    <w:name w:val="Header Char"/>
    <w:basedOn w:val="DefaultParagraphFont"/>
    <w:link w:val="Header"/>
    <w:uiPriority w:val="99"/>
    <w:rsid w:val="00C02A86"/>
    <w:rPr>
      <w:rFonts w:ascii="Arial" w:hAnsi="Arial"/>
      <w:lang w:val="en-US"/>
    </w:rPr>
  </w:style>
  <w:style w:type="paragraph" w:styleId="Footer">
    <w:name w:val="footer"/>
    <w:basedOn w:val="Normal"/>
    <w:link w:val="FooterChar"/>
    <w:uiPriority w:val="99"/>
    <w:unhideWhenUsed/>
    <w:rsid w:val="00C02A86"/>
    <w:pPr>
      <w:tabs>
        <w:tab w:val="center" w:pos="4680"/>
        <w:tab w:val="right" w:pos="9360"/>
      </w:tabs>
    </w:pPr>
  </w:style>
  <w:style w:type="character" w:customStyle="1" w:styleId="FooterChar">
    <w:name w:val="Footer Char"/>
    <w:basedOn w:val="DefaultParagraphFont"/>
    <w:link w:val="Footer"/>
    <w:uiPriority w:val="99"/>
    <w:rsid w:val="00C02A86"/>
    <w:rPr>
      <w:rFonts w:ascii="Arial" w:hAnsi="Arial"/>
      <w:lang w:val="en-US"/>
    </w:rPr>
  </w:style>
  <w:style w:type="paragraph" w:styleId="BalloonText">
    <w:name w:val="Balloon Text"/>
    <w:basedOn w:val="Normal"/>
    <w:link w:val="BalloonTextChar"/>
    <w:uiPriority w:val="99"/>
    <w:semiHidden/>
    <w:unhideWhenUsed/>
    <w:rsid w:val="00B15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11F"/>
    <w:rPr>
      <w:rFonts w:ascii="Segoe UI" w:hAnsi="Segoe UI" w:cs="Segoe UI"/>
      <w:sz w:val="18"/>
      <w:szCs w:val="18"/>
      <w:lang w:val="en-US"/>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Bullets"/>
    <w:basedOn w:val="Normal"/>
    <w:link w:val="ListParagraphChar"/>
    <w:qFormat/>
    <w:rsid w:val="005D5317"/>
    <w:pPr>
      <w:numPr>
        <w:numId w:val="1"/>
      </w:numPr>
      <w:spacing w:before="120" w:after="120" w:line="264" w:lineRule="auto"/>
    </w:pPr>
    <w:rPr>
      <w:rFonts w:cs="Arial"/>
      <w:sz w:val="20"/>
      <w:szCs w:val="20"/>
      <w:lang w:val="en-GB"/>
    </w:rPr>
  </w:style>
  <w:style w:type="character" w:styleId="FollowedHyperlink">
    <w:name w:val="FollowedHyperlink"/>
    <w:basedOn w:val="DefaultParagraphFont"/>
    <w:uiPriority w:val="99"/>
    <w:semiHidden/>
    <w:unhideWhenUsed/>
    <w:rsid w:val="00B73951"/>
    <w:rPr>
      <w:color w:val="8DC63F" w:themeColor="followedHyperlink"/>
      <w:u w:val="single"/>
    </w:rPr>
  </w:style>
  <w:style w:type="paragraph" w:styleId="NormalWeb">
    <w:name w:val="Normal (Web)"/>
    <w:basedOn w:val="Normal"/>
    <w:uiPriority w:val="99"/>
    <w:unhideWhenUsed/>
    <w:rsid w:val="00E21125"/>
    <w:rPr>
      <w:rFonts w:ascii="Times New Roman" w:hAnsi="Times New Roman" w:cs="Times New Roman"/>
      <w:sz w:val="24"/>
      <w:szCs w:val="24"/>
    </w:rPr>
  </w:style>
  <w:style w:type="paragraph" w:styleId="BodyText">
    <w:name w:val="Body Text"/>
    <w:basedOn w:val="Normal"/>
    <w:link w:val="BodyTextChar"/>
    <w:uiPriority w:val="99"/>
    <w:unhideWhenUsed/>
    <w:rsid w:val="004535BA"/>
    <w:pPr>
      <w:jc w:val="both"/>
    </w:pPr>
    <w:rPr>
      <w:color w:val="000000" w:themeColor="text1"/>
    </w:rPr>
  </w:style>
  <w:style w:type="character" w:customStyle="1" w:styleId="BodyTextChar">
    <w:name w:val="Body Text Char"/>
    <w:basedOn w:val="DefaultParagraphFont"/>
    <w:link w:val="BodyText"/>
    <w:uiPriority w:val="99"/>
    <w:rsid w:val="004535BA"/>
    <w:rPr>
      <w:rFonts w:ascii="Arial" w:hAnsi="Arial"/>
      <w:color w:val="000000" w:themeColor="text1"/>
      <w:lang w:val="en-US"/>
    </w:rPr>
  </w:style>
  <w:style w:type="paragraph" w:styleId="BodyText2">
    <w:name w:val="Body Text 2"/>
    <w:basedOn w:val="Normal"/>
    <w:link w:val="BodyText2Char"/>
    <w:uiPriority w:val="99"/>
    <w:unhideWhenUsed/>
    <w:rsid w:val="00053A77"/>
    <w:pPr>
      <w:jc w:val="both"/>
    </w:pPr>
  </w:style>
  <w:style w:type="character" w:customStyle="1" w:styleId="BodyText2Char">
    <w:name w:val="Body Text 2 Char"/>
    <w:basedOn w:val="DefaultParagraphFont"/>
    <w:link w:val="BodyText2"/>
    <w:uiPriority w:val="99"/>
    <w:rsid w:val="00053A77"/>
    <w:rPr>
      <w:rFonts w:ascii="Arial" w:hAnsi="Arial"/>
      <w:lang w:val="en-US"/>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rsid w:val="005D5317"/>
    <w:rPr>
      <w:rFonts w:ascii="Arial" w:hAnsi="Arial" w:cs="Arial"/>
      <w:sz w:val="20"/>
      <w:szCs w:val="20"/>
    </w:rPr>
  </w:style>
  <w:style w:type="character" w:styleId="CommentReference">
    <w:name w:val="annotation reference"/>
    <w:basedOn w:val="DefaultParagraphFont"/>
    <w:uiPriority w:val="99"/>
    <w:semiHidden/>
    <w:unhideWhenUsed/>
    <w:rsid w:val="00E42E1A"/>
    <w:rPr>
      <w:sz w:val="16"/>
      <w:szCs w:val="16"/>
    </w:rPr>
  </w:style>
  <w:style w:type="paragraph" w:styleId="CommentText">
    <w:name w:val="annotation text"/>
    <w:basedOn w:val="Normal"/>
    <w:link w:val="CommentTextChar"/>
    <w:uiPriority w:val="99"/>
    <w:unhideWhenUsed/>
    <w:rsid w:val="00E42E1A"/>
    <w:rPr>
      <w:sz w:val="20"/>
      <w:szCs w:val="20"/>
    </w:rPr>
  </w:style>
  <w:style w:type="character" w:customStyle="1" w:styleId="CommentTextChar">
    <w:name w:val="Comment Text Char"/>
    <w:basedOn w:val="DefaultParagraphFont"/>
    <w:link w:val="CommentText"/>
    <w:uiPriority w:val="99"/>
    <w:rsid w:val="00E42E1A"/>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E42E1A"/>
    <w:rPr>
      <w:b/>
      <w:bCs/>
    </w:rPr>
  </w:style>
  <w:style w:type="character" w:customStyle="1" w:styleId="CommentSubjectChar">
    <w:name w:val="Comment Subject Char"/>
    <w:basedOn w:val="CommentTextChar"/>
    <w:link w:val="CommentSubject"/>
    <w:uiPriority w:val="99"/>
    <w:semiHidden/>
    <w:rsid w:val="00E42E1A"/>
    <w:rPr>
      <w:rFonts w:ascii="Arial" w:hAnsi="Arial"/>
      <w:b/>
      <w:bCs/>
      <w:sz w:val="20"/>
      <w:szCs w:val="20"/>
      <w:lang w:val="en-US"/>
    </w:rPr>
  </w:style>
  <w:style w:type="paragraph" w:styleId="EndnoteText">
    <w:name w:val="endnote text"/>
    <w:basedOn w:val="Normal"/>
    <w:link w:val="EndnoteTextChar"/>
    <w:uiPriority w:val="99"/>
    <w:rsid w:val="00C75E60"/>
    <w:pPr>
      <w:spacing w:after="120"/>
    </w:pPr>
    <w:rPr>
      <w:rFonts w:eastAsia="Times New Roman" w:cs="Times New Roman"/>
      <w:sz w:val="20"/>
      <w:szCs w:val="20"/>
    </w:rPr>
  </w:style>
  <w:style w:type="character" w:customStyle="1" w:styleId="EndnoteTextChar">
    <w:name w:val="Endnote Text Char"/>
    <w:basedOn w:val="DefaultParagraphFont"/>
    <w:link w:val="EndnoteText"/>
    <w:uiPriority w:val="99"/>
    <w:rsid w:val="00C75E60"/>
    <w:rPr>
      <w:rFonts w:ascii="Arial" w:eastAsia="Times New Roman" w:hAnsi="Arial" w:cs="Times New Roman"/>
      <w:sz w:val="20"/>
      <w:szCs w:val="20"/>
      <w:lang w:val="en-US"/>
    </w:rPr>
  </w:style>
  <w:style w:type="character" w:styleId="EndnoteReference">
    <w:name w:val="endnote reference"/>
    <w:basedOn w:val="DefaultParagraphFont"/>
    <w:uiPriority w:val="99"/>
    <w:rsid w:val="00C75E60"/>
    <w:rPr>
      <w:vertAlign w:val="superscript"/>
    </w:rPr>
  </w:style>
  <w:style w:type="paragraph" w:styleId="NoSpacing">
    <w:name w:val="No Spacing"/>
    <w:link w:val="NoSpacingChar"/>
    <w:uiPriority w:val="1"/>
    <w:qFormat/>
    <w:rsid w:val="00C75E60"/>
    <w:pPr>
      <w:spacing w:after="0" w:line="240" w:lineRule="auto"/>
    </w:pPr>
  </w:style>
  <w:style w:type="character" w:customStyle="1" w:styleId="NoSpacingChar">
    <w:name w:val="No Spacing Char"/>
    <w:basedOn w:val="DefaultParagraphFont"/>
    <w:link w:val="NoSpacing"/>
    <w:uiPriority w:val="1"/>
    <w:locked/>
    <w:rsid w:val="00C75E60"/>
  </w:style>
  <w:style w:type="character" w:styleId="FootnoteReference">
    <w:name w:val="footnote reference"/>
    <w:aliases w:val="16 Point,Superscript 6 Point,ftref,4_G Char Char Char Char,Footnotes refss Char Char Char Char,ftref Char Char Char Char,BVI fnr Char Char Char Char,BVI fnr Car Car Char Char Char Char,BVI fnr Car Char Char Char Char,4_G,ftref Car Car"/>
    <w:link w:val="4GCharCharChar"/>
    <w:uiPriority w:val="99"/>
    <w:qFormat/>
    <w:rsid w:val="00C75E60"/>
    <w:rPr>
      <w:vertAlign w:val="superscript"/>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Char,ft,Cha"/>
    <w:basedOn w:val="Normal"/>
    <w:link w:val="FootnoteTextChar"/>
    <w:uiPriority w:val="99"/>
    <w:qFormat/>
    <w:rsid w:val="00C75E60"/>
    <w:pPr>
      <w:widowControl w:val="0"/>
      <w:suppressLineNumbers/>
      <w:suppressAutoHyphens/>
      <w:autoSpaceDE w:val="0"/>
      <w:autoSpaceDN w:val="0"/>
      <w:adjustRightInd w:val="0"/>
      <w:ind w:left="339" w:hanging="339"/>
      <w:jc w:val="both"/>
    </w:pPr>
    <w:rPr>
      <w:rFonts w:ascii="Times New Roman" w:eastAsia="Droid Sans" w:hAnsi="Times New Roman" w:cs="Lohit Hindi"/>
      <w:kern w:val="1"/>
      <w:sz w:val="20"/>
      <w:szCs w:val="20"/>
      <w:lang w:val="en-GB" w:eastAsia="zh-CN" w:bidi="hi-IN"/>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C75E60"/>
    <w:rPr>
      <w:rFonts w:ascii="Times New Roman" w:eastAsia="Droid Sans" w:hAnsi="Times New Roman" w:cs="Lohit Hindi"/>
      <w:kern w:val="1"/>
      <w:sz w:val="20"/>
      <w:szCs w:val="20"/>
      <w:lang w:eastAsia="zh-CN" w:bidi="hi-IN"/>
    </w:rPr>
  </w:style>
  <w:style w:type="character" w:customStyle="1" w:styleId="Heading3Char">
    <w:name w:val="Heading 3 Char"/>
    <w:basedOn w:val="DefaultParagraphFont"/>
    <w:link w:val="Heading3"/>
    <w:uiPriority w:val="9"/>
    <w:rsid w:val="00CB1AE5"/>
    <w:rPr>
      <w:rFonts w:ascii="Arial" w:hAnsi="Arial" w:cs="Arial"/>
      <w:b/>
      <w:bCs/>
    </w:rPr>
  </w:style>
  <w:style w:type="paragraph" w:styleId="TOCHeading">
    <w:name w:val="TOC Heading"/>
    <w:basedOn w:val="Heading1"/>
    <w:next w:val="Normal"/>
    <w:uiPriority w:val="39"/>
    <w:unhideWhenUsed/>
    <w:qFormat/>
    <w:rsid w:val="00A17CD1"/>
    <w:pPr>
      <w:spacing w:line="259" w:lineRule="auto"/>
      <w:outlineLvl w:val="9"/>
    </w:pPr>
    <w:rPr>
      <w:rFonts w:asciiTheme="majorHAnsi" w:hAnsiTheme="majorHAnsi"/>
      <w:b w:val="0"/>
      <w:color w:val="0073BD" w:themeColor="accent1" w:themeShade="BF"/>
      <w:sz w:val="32"/>
    </w:rPr>
  </w:style>
  <w:style w:type="paragraph" w:styleId="TOC1">
    <w:name w:val="toc 1"/>
    <w:basedOn w:val="Normal"/>
    <w:next w:val="Normal"/>
    <w:autoRedefine/>
    <w:uiPriority w:val="39"/>
    <w:unhideWhenUsed/>
    <w:rsid w:val="001B67F3"/>
    <w:pPr>
      <w:tabs>
        <w:tab w:val="left" w:pos="440"/>
        <w:tab w:val="right" w:leader="dot" w:pos="9160"/>
      </w:tabs>
      <w:spacing w:before="280" w:after="160"/>
    </w:pPr>
    <w:rPr>
      <w:b/>
      <w:noProof/>
    </w:rPr>
  </w:style>
  <w:style w:type="paragraph" w:styleId="TOC2">
    <w:name w:val="toc 2"/>
    <w:basedOn w:val="Normal"/>
    <w:next w:val="Normal"/>
    <w:autoRedefine/>
    <w:uiPriority w:val="39"/>
    <w:unhideWhenUsed/>
    <w:rsid w:val="007F4272"/>
    <w:pPr>
      <w:tabs>
        <w:tab w:val="left" w:pos="900"/>
        <w:tab w:val="right" w:leader="dot" w:pos="9160"/>
      </w:tabs>
      <w:spacing w:before="160" w:after="160"/>
      <w:ind w:left="220"/>
    </w:pPr>
  </w:style>
  <w:style w:type="character" w:customStyle="1" w:styleId="FootnoteCharacters">
    <w:name w:val="Footnote Characters"/>
    <w:rsid w:val="00DE2A94"/>
    <w:rPr>
      <w:vertAlign w:val="superscript"/>
    </w:rPr>
  </w:style>
  <w:style w:type="paragraph" w:styleId="TOC3">
    <w:name w:val="toc 3"/>
    <w:basedOn w:val="Normal"/>
    <w:next w:val="Normal"/>
    <w:autoRedefine/>
    <w:uiPriority w:val="39"/>
    <w:unhideWhenUsed/>
    <w:rsid w:val="001A4CFB"/>
    <w:pPr>
      <w:tabs>
        <w:tab w:val="right" w:leader="dot" w:pos="9016"/>
      </w:tabs>
      <w:spacing w:after="100"/>
      <w:ind w:left="440"/>
    </w:pPr>
    <w:rPr>
      <w:noProof/>
    </w:rPr>
  </w:style>
  <w:style w:type="paragraph" w:styleId="Revision">
    <w:name w:val="Revision"/>
    <w:hidden/>
    <w:uiPriority w:val="99"/>
    <w:semiHidden/>
    <w:rsid w:val="00D37239"/>
    <w:pPr>
      <w:spacing w:after="0" w:line="240" w:lineRule="auto"/>
    </w:pPr>
    <w:rPr>
      <w:rFonts w:ascii="Arial" w:hAnsi="Arial"/>
      <w:lang w:val="en-US"/>
    </w:rPr>
  </w:style>
  <w:style w:type="paragraph" w:styleId="TOC4">
    <w:name w:val="toc 4"/>
    <w:basedOn w:val="Normal"/>
    <w:next w:val="Normal"/>
    <w:autoRedefine/>
    <w:uiPriority w:val="39"/>
    <w:unhideWhenUsed/>
    <w:rsid w:val="00A20A48"/>
    <w:pPr>
      <w:ind w:left="660"/>
    </w:pPr>
  </w:style>
  <w:style w:type="paragraph" w:styleId="TOC5">
    <w:name w:val="toc 5"/>
    <w:basedOn w:val="Normal"/>
    <w:next w:val="Normal"/>
    <w:autoRedefine/>
    <w:uiPriority w:val="39"/>
    <w:unhideWhenUsed/>
    <w:rsid w:val="00A20A48"/>
    <w:pPr>
      <w:ind w:left="880"/>
    </w:pPr>
  </w:style>
  <w:style w:type="paragraph" w:styleId="TOC6">
    <w:name w:val="toc 6"/>
    <w:basedOn w:val="Normal"/>
    <w:next w:val="Normal"/>
    <w:autoRedefine/>
    <w:uiPriority w:val="39"/>
    <w:unhideWhenUsed/>
    <w:rsid w:val="00A20A48"/>
    <w:pPr>
      <w:ind w:left="1100"/>
    </w:pPr>
  </w:style>
  <w:style w:type="paragraph" w:styleId="TOC7">
    <w:name w:val="toc 7"/>
    <w:basedOn w:val="Normal"/>
    <w:next w:val="Normal"/>
    <w:autoRedefine/>
    <w:uiPriority w:val="39"/>
    <w:unhideWhenUsed/>
    <w:rsid w:val="00A20A48"/>
    <w:pPr>
      <w:ind w:left="1320"/>
    </w:pPr>
  </w:style>
  <w:style w:type="paragraph" w:styleId="TOC8">
    <w:name w:val="toc 8"/>
    <w:basedOn w:val="Normal"/>
    <w:next w:val="Normal"/>
    <w:autoRedefine/>
    <w:uiPriority w:val="39"/>
    <w:unhideWhenUsed/>
    <w:rsid w:val="00A20A48"/>
    <w:pPr>
      <w:ind w:left="1540"/>
    </w:pPr>
  </w:style>
  <w:style w:type="paragraph" w:styleId="TOC9">
    <w:name w:val="toc 9"/>
    <w:basedOn w:val="Normal"/>
    <w:next w:val="Normal"/>
    <w:autoRedefine/>
    <w:uiPriority w:val="39"/>
    <w:unhideWhenUsed/>
    <w:rsid w:val="00A20A48"/>
    <w:pPr>
      <w:ind w:left="1760"/>
    </w:pPr>
  </w:style>
  <w:style w:type="character" w:customStyle="1" w:styleId="Heading4Char">
    <w:name w:val="Heading 4 Char"/>
    <w:basedOn w:val="DefaultParagraphFont"/>
    <w:link w:val="Heading4"/>
    <w:uiPriority w:val="9"/>
    <w:rsid w:val="00CB1AE5"/>
    <w:rPr>
      <w:rFonts w:ascii="Arial" w:hAnsi="Arial" w:cs="Arial"/>
      <w:i/>
    </w:rPr>
  </w:style>
  <w:style w:type="table" w:styleId="TableGrid">
    <w:name w:val="Table Grid"/>
    <w:basedOn w:val="TableNormal"/>
    <w:uiPriority w:val="59"/>
    <w:rsid w:val="0095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6531E"/>
    <w:rPr>
      <w:rFonts w:ascii="Arial" w:hAnsi="Arial"/>
      <w:b/>
      <w:bCs/>
      <w:iCs/>
      <w:color w:val="auto"/>
      <w:sz w:val="20"/>
      <w:szCs w:val="20"/>
      <w:lang w:val="en-GB"/>
    </w:rPr>
  </w:style>
  <w:style w:type="character" w:customStyle="1" w:styleId="Heading5Char">
    <w:name w:val="Heading 5 Char"/>
    <w:basedOn w:val="DefaultParagraphFont"/>
    <w:link w:val="Heading5"/>
    <w:uiPriority w:val="9"/>
    <w:semiHidden/>
    <w:rsid w:val="0006531E"/>
    <w:rPr>
      <w:rFonts w:asciiTheme="majorHAnsi" w:eastAsiaTheme="majorEastAsia" w:hAnsiTheme="majorHAnsi" w:cstheme="majorBidi"/>
      <w:color w:val="004D7E" w:themeColor="accent1" w:themeShade="7F"/>
      <w:lang w:val="en-US"/>
    </w:rPr>
  </w:style>
  <w:style w:type="character" w:styleId="PageNumber">
    <w:name w:val="page number"/>
    <w:basedOn w:val="DefaultParagraphFont"/>
    <w:rsid w:val="002E7283"/>
  </w:style>
  <w:style w:type="paragraph" w:customStyle="1" w:styleId="xl63">
    <w:name w:val="xl63"/>
    <w:basedOn w:val="Normal"/>
    <w:rsid w:val="00B66147"/>
    <w:pPr>
      <w:spacing w:before="100" w:beforeAutospacing="1" w:after="100" w:afterAutospacing="1"/>
      <w:textAlignment w:val="center"/>
    </w:pPr>
    <w:rPr>
      <w:rFonts w:eastAsia="Times New Roman" w:cs="Arial"/>
      <w:sz w:val="20"/>
      <w:szCs w:val="20"/>
    </w:rPr>
  </w:style>
  <w:style w:type="paragraph" w:customStyle="1" w:styleId="xl64">
    <w:name w:val="xl64"/>
    <w:basedOn w:val="Normal"/>
    <w:rsid w:val="00B661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20"/>
      <w:szCs w:val="20"/>
    </w:rPr>
  </w:style>
  <w:style w:type="paragraph" w:customStyle="1" w:styleId="xl65">
    <w:name w:val="xl65"/>
    <w:basedOn w:val="Normal"/>
    <w:rsid w:val="00B661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20"/>
      <w:szCs w:val="20"/>
    </w:rPr>
  </w:style>
  <w:style w:type="paragraph" w:customStyle="1" w:styleId="xl66">
    <w:name w:val="xl66"/>
    <w:basedOn w:val="Normal"/>
    <w:rsid w:val="00B66147"/>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cs="Arial"/>
      <w:b/>
      <w:bCs/>
      <w:sz w:val="20"/>
      <w:szCs w:val="20"/>
    </w:rPr>
  </w:style>
  <w:style w:type="paragraph" w:customStyle="1" w:styleId="xl67">
    <w:name w:val="xl67"/>
    <w:basedOn w:val="Normal"/>
    <w:rsid w:val="00B66147"/>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eastAsia="Times New Roman" w:cs="Arial"/>
      <w:b/>
      <w:bCs/>
      <w:sz w:val="20"/>
      <w:szCs w:val="20"/>
    </w:rPr>
  </w:style>
  <w:style w:type="paragraph" w:customStyle="1" w:styleId="xl68">
    <w:name w:val="xl68"/>
    <w:basedOn w:val="Normal"/>
    <w:rsid w:val="00B661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20"/>
      <w:szCs w:val="20"/>
    </w:rPr>
  </w:style>
  <w:style w:type="paragraph" w:customStyle="1" w:styleId="xl69">
    <w:name w:val="xl69"/>
    <w:basedOn w:val="Normal"/>
    <w:rsid w:val="00B66147"/>
    <w:pPr>
      <w:spacing w:before="100" w:beforeAutospacing="1" w:after="100" w:afterAutospacing="1"/>
      <w:textAlignment w:val="center"/>
    </w:pPr>
    <w:rPr>
      <w:rFonts w:eastAsia="Times New Roman" w:cs="Arial"/>
      <w:sz w:val="20"/>
      <w:szCs w:val="20"/>
    </w:rPr>
  </w:style>
  <w:style w:type="paragraph" w:customStyle="1" w:styleId="xl70">
    <w:name w:val="xl70"/>
    <w:basedOn w:val="Normal"/>
    <w:rsid w:val="00B66147"/>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cs="Arial"/>
      <w:b/>
      <w:bCs/>
      <w:sz w:val="20"/>
      <w:szCs w:val="20"/>
    </w:rPr>
  </w:style>
  <w:style w:type="paragraph" w:customStyle="1" w:styleId="xl71">
    <w:name w:val="xl71"/>
    <w:basedOn w:val="Normal"/>
    <w:rsid w:val="00B66147"/>
    <w:pPr>
      <w:spacing w:before="100" w:beforeAutospacing="1" w:after="100" w:afterAutospacing="1"/>
      <w:textAlignment w:val="center"/>
    </w:pPr>
    <w:rPr>
      <w:rFonts w:eastAsia="Times New Roman" w:cs="Arial"/>
      <w:sz w:val="20"/>
      <w:szCs w:val="20"/>
    </w:rPr>
  </w:style>
  <w:style w:type="paragraph" w:customStyle="1" w:styleId="xl72">
    <w:name w:val="xl72"/>
    <w:basedOn w:val="Normal"/>
    <w:rsid w:val="00B661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rPr>
  </w:style>
  <w:style w:type="paragraph" w:customStyle="1" w:styleId="xl73">
    <w:name w:val="xl73"/>
    <w:basedOn w:val="Normal"/>
    <w:rsid w:val="00B661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sz w:val="20"/>
      <w:szCs w:val="20"/>
    </w:rPr>
  </w:style>
  <w:style w:type="paragraph" w:customStyle="1" w:styleId="xl74">
    <w:name w:val="xl74"/>
    <w:basedOn w:val="Normal"/>
    <w:rsid w:val="00B66147"/>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eastAsia="Times New Roman" w:cs="Arial"/>
      <w:b/>
      <w:bCs/>
      <w:sz w:val="20"/>
      <w:szCs w:val="20"/>
    </w:rPr>
  </w:style>
  <w:style w:type="paragraph" w:customStyle="1" w:styleId="xl75">
    <w:name w:val="xl75"/>
    <w:basedOn w:val="Normal"/>
    <w:rsid w:val="00B66147"/>
    <w:pPr>
      <w:shd w:val="clear" w:color="000000" w:fill="FFFFFF"/>
      <w:spacing w:before="100" w:beforeAutospacing="1" w:after="100" w:afterAutospacing="1"/>
      <w:textAlignment w:val="center"/>
    </w:pPr>
    <w:rPr>
      <w:rFonts w:eastAsia="Times New Roman" w:cs="Arial"/>
      <w:sz w:val="20"/>
      <w:szCs w:val="20"/>
    </w:rPr>
  </w:style>
  <w:style w:type="paragraph" w:customStyle="1" w:styleId="xl76">
    <w:name w:val="xl76"/>
    <w:basedOn w:val="Normal"/>
    <w:rsid w:val="00B661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Arial"/>
      <w:sz w:val="20"/>
      <w:szCs w:val="20"/>
    </w:rPr>
  </w:style>
  <w:style w:type="paragraph" w:customStyle="1" w:styleId="xl77">
    <w:name w:val="xl77"/>
    <w:basedOn w:val="Normal"/>
    <w:rsid w:val="00B661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Arial"/>
      <w:sz w:val="20"/>
      <w:szCs w:val="20"/>
    </w:rPr>
  </w:style>
  <w:style w:type="paragraph" w:customStyle="1" w:styleId="xl78">
    <w:name w:val="xl78"/>
    <w:basedOn w:val="Normal"/>
    <w:rsid w:val="00B661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Arial"/>
      <w:sz w:val="20"/>
      <w:szCs w:val="20"/>
    </w:rPr>
  </w:style>
  <w:style w:type="paragraph" w:customStyle="1" w:styleId="xl79">
    <w:name w:val="xl79"/>
    <w:basedOn w:val="Normal"/>
    <w:rsid w:val="00B661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rPr>
  </w:style>
  <w:style w:type="paragraph" w:customStyle="1" w:styleId="xl80">
    <w:name w:val="xl80"/>
    <w:basedOn w:val="Normal"/>
    <w:rsid w:val="00B661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color w:val="FF0000"/>
      <w:sz w:val="20"/>
      <w:szCs w:val="20"/>
    </w:rPr>
  </w:style>
  <w:style w:type="paragraph" w:customStyle="1" w:styleId="xl81">
    <w:name w:val="xl81"/>
    <w:basedOn w:val="Normal"/>
    <w:rsid w:val="00B661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rPr>
  </w:style>
  <w:style w:type="paragraph" w:customStyle="1" w:styleId="xl82">
    <w:name w:val="xl82"/>
    <w:basedOn w:val="Normal"/>
    <w:rsid w:val="00B661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rPr>
  </w:style>
  <w:style w:type="paragraph" w:customStyle="1" w:styleId="xl83">
    <w:name w:val="xl83"/>
    <w:basedOn w:val="Normal"/>
    <w:rsid w:val="00B66147"/>
    <w:pPr>
      <w:shd w:val="clear" w:color="000000" w:fill="FFFFFF"/>
      <w:spacing w:before="100" w:beforeAutospacing="1" w:after="100" w:afterAutospacing="1"/>
      <w:textAlignment w:val="center"/>
    </w:pPr>
    <w:rPr>
      <w:rFonts w:eastAsia="Times New Roman" w:cs="Arial"/>
      <w:sz w:val="20"/>
      <w:szCs w:val="20"/>
    </w:rPr>
  </w:style>
  <w:style w:type="paragraph" w:customStyle="1" w:styleId="xl84">
    <w:name w:val="xl84"/>
    <w:basedOn w:val="Normal"/>
    <w:rsid w:val="00B6614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Arial"/>
      <w:sz w:val="20"/>
      <w:szCs w:val="20"/>
    </w:rPr>
  </w:style>
  <w:style w:type="paragraph" w:customStyle="1" w:styleId="xl85">
    <w:name w:val="xl85"/>
    <w:basedOn w:val="Normal"/>
    <w:rsid w:val="00B66147"/>
    <w:pPr>
      <w:spacing w:before="100" w:beforeAutospacing="1" w:after="100" w:afterAutospacing="1"/>
      <w:jc w:val="center"/>
      <w:textAlignment w:val="center"/>
    </w:pPr>
    <w:rPr>
      <w:rFonts w:eastAsia="Times New Roman" w:cs="Arial"/>
      <w:sz w:val="20"/>
      <w:szCs w:val="20"/>
    </w:rPr>
  </w:style>
  <w:style w:type="paragraph" w:customStyle="1" w:styleId="xl86">
    <w:name w:val="xl86"/>
    <w:basedOn w:val="Normal"/>
    <w:rsid w:val="00B66147"/>
    <w:pPr>
      <w:spacing w:before="100" w:beforeAutospacing="1" w:after="100" w:afterAutospacing="1"/>
      <w:jc w:val="center"/>
      <w:textAlignment w:val="center"/>
    </w:pPr>
    <w:rPr>
      <w:rFonts w:eastAsia="Times New Roman" w:cs="Arial"/>
      <w:b/>
      <w:bCs/>
      <w:sz w:val="20"/>
      <w:szCs w:val="20"/>
    </w:rPr>
  </w:style>
  <w:style w:type="paragraph" w:customStyle="1" w:styleId="xl87">
    <w:name w:val="xl87"/>
    <w:basedOn w:val="Normal"/>
    <w:rsid w:val="00B6614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Arial"/>
      <w:sz w:val="20"/>
      <w:szCs w:val="20"/>
    </w:rPr>
  </w:style>
  <w:style w:type="paragraph" w:customStyle="1" w:styleId="xl88">
    <w:name w:val="xl88"/>
    <w:basedOn w:val="Normal"/>
    <w:rsid w:val="00B6614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cs="Arial"/>
      <w:b/>
      <w:bCs/>
      <w:sz w:val="20"/>
      <w:szCs w:val="20"/>
    </w:rPr>
  </w:style>
  <w:style w:type="paragraph" w:customStyle="1" w:styleId="xl89">
    <w:name w:val="xl89"/>
    <w:basedOn w:val="Normal"/>
    <w:rsid w:val="00B6614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b/>
      <w:bCs/>
      <w:sz w:val="20"/>
      <w:szCs w:val="20"/>
    </w:rPr>
  </w:style>
  <w:style w:type="paragraph" w:customStyle="1" w:styleId="xl90">
    <w:name w:val="xl90"/>
    <w:basedOn w:val="Normal"/>
    <w:rsid w:val="00B661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color w:val="FF0000"/>
      <w:sz w:val="20"/>
      <w:szCs w:val="20"/>
    </w:rPr>
  </w:style>
  <w:style w:type="paragraph" w:customStyle="1" w:styleId="xl91">
    <w:name w:val="xl91"/>
    <w:basedOn w:val="Normal"/>
    <w:rsid w:val="00B66147"/>
    <w:pPr>
      <w:spacing w:before="100" w:beforeAutospacing="1" w:after="100" w:afterAutospacing="1"/>
      <w:textAlignment w:val="center"/>
    </w:pPr>
    <w:rPr>
      <w:rFonts w:eastAsia="Times New Roman" w:cs="Arial"/>
    </w:rPr>
  </w:style>
  <w:style w:type="paragraph" w:customStyle="1" w:styleId="xl92">
    <w:name w:val="xl92"/>
    <w:basedOn w:val="Normal"/>
    <w:rsid w:val="00B66147"/>
    <w:pPr>
      <w:spacing w:before="100" w:beforeAutospacing="1" w:after="100" w:afterAutospacing="1"/>
      <w:jc w:val="center"/>
      <w:textAlignment w:val="center"/>
    </w:pPr>
    <w:rPr>
      <w:rFonts w:eastAsia="Times New Roman" w:cs="Arial"/>
    </w:rPr>
  </w:style>
  <w:style w:type="paragraph" w:customStyle="1" w:styleId="xl93">
    <w:name w:val="xl93"/>
    <w:basedOn w:val="Normal"/>
    <w:rsid w:val="00B66147"/>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cs="Arial"/>
      <w:b/>
      <w:bCs/>
    </w:rPr>
  </w:style>
  <w:style w:type="paragraph" w:customStyle="1" w:styleId="xl94">
    <w:name w:val="xl94"/>
    <w:basedOn w:val="Normal"/>
    <w:rsid w:val="00B6614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b/>
      <w:bCs/>
    </w:rPr>
  </w:style>
  <w:style w:type="paragraph" w:customStyle="1" w:styleId="xl95">
    <w:name w:val="xl95"/>
    <w:basedOn w:val="Normal"/>
    <w:rsid w:val="00B661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rPr>
  </w:style>
  <w:style w:type="paragraph" w:customStyle="1" w:styleId="xl96">
    <w:name w:val="xl96"/>
    <w:basedOn w:val="Normal"/>
    <w:rsid w:val="00B6614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cs="Arial"/>
    </w:rPr>
  </w:style>
  <w:style w:type="paragraph" w:customStyle="1" w:styleId="xl97">
    <w:name w:val="xl97"/>
    <w:basedOn w:val="Normal"/>
    <w:rsid w:val="00B661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rPr>
  </w:style>
  <w:style w:type="paragraph" w:customStyle="1" w:styleId="xl98">
    <w:name w:val="xl98"/>
    <w:basedOn w:val="Normal"/>
    <w:rsid w:val="00B661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Arial"/>
    </w:rPr>
  </w:style>
  <w:style w:type="paragraph" w:customStyle="1" w:styleId="xl99">
    <w:name w:val="xl99"/>
    <w:basedOn w:val="Normal"/>
    <w:rsid w:val="00B661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rPr>
  </w:style>
  <w:style w:type="paragraph" w:customStyle="1" w:styleId="xl100">
    <w:name w:val="xl100"/>
    <w:basedOn w:val="Normal"/>
    <w:rsid w:val="00B661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rPr>
  </w:style>
  <w:style w:type="paragraph" w:customStyle="1" w:styleId="xl101">
    <w:name w:val="xl101"/>
    <w:basedOn w:val="Normal"/>
    <w:rsid w:val="00B6614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b/>
      <w:bCs/>
    </w:rPr>
  </w:style>
  <w:style w:type="paragraph" w:customStyle="1" w:styleId="xl102">
    <w:name w:val="xl102"/>
    <w:basedOn w:val="Normal"/>
    <w:rsid w:val="00B661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rPr>
  </w:style>
  <w:style w:type="paragraph" w:customStyle="1" w:styleId="xl103">
    <w:name w:val="xl103"/>
    <w:basedOn w:val="Normal"/>
    <w:rsid w:val="00B66147"/>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s="Arial"/>
    </w:rPr>
  </w:style>
  <w:style w:type="paragraph" w:customStyle="1" w:styleId="xl104">
    <w:name w:val="xl104"/>
    <w:basedOn w:val="Normal"/>
    <w:rsid w:val="00B6614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cs="Arial"/>
      <w:b/>
      <w:bCs/>
    </w:rPr>
  </w:style>
  <w:style w:type="paragraph" w:customStyle="1" w:styleId="xl105">
    <w:name w:val="xl105"/>
    <w:basedOn w:val="Normal"/>
    <w:rsid w:val="00B661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rPr>
  </w:style>
  <w:style w:type="paragraph" w:customStyle="1" w:styleId="xl106">
    <w:name w:val="xl106"/>
    <w:basedOn w:val="Normal"/>
    <w:rsid w:val="00B661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rPr>
  </w:style>
  <w:style w:type="paragraph" w:customStyle="1" w:styleId="xl107">
    <w:name w:val="xl107"/>
    <w:basedOn w:val="Normal"/>
    <w:rsid w:val="00B661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rPr>
  </w:style>
  <w:style w:type="paragraph" w:customStyle="1" w:styleId="xl108">
    <w:name w:val="xl108"/>
    <w:basedOn w:val="Normal"/>
    <w:rsid w:val="00B66147"/>
    <w:pPr>
      <w:spacing w:before="100" w:beforeAutospacing="1" w:after="100" w:afterAutospacing="1"/>
      <w:textAlignment w:val="center"/>
    </w:pPr>
    <w:rPr>
      <w:rFonts w:eastAsia="Times New Roman" w:cs="Arial"/>
    </w:rPr>
  </w:style>
  <w:style w:type="paragraph" w:customStyle="1" w:styleId="xl109">
    <w:name w:val="xl109"/>
    <w:basedOn w:val="Normal"/>
    <w:rsid w:val="00B661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Arial"/>
    </w:rPr>
  </w:style>
  <w:style w:type="paragraph" w:customStyle="1" w:styleId="xl110">
    <w:name w:val="xl110"/>
    <w:basedOn w:val="Normal"/>
    <w:rsid w:val="00B661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rPr>
  </w:style>
  <w:style w:type="paragraph" w:customStyle="1" w:styleId="xl111">
    <w:name w:val="xl111"/>
    <w:basedOn w:val="Normal"/>
    <w:rsid w:val="00B6614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cs="Arial"/>
      <w:b/>
      <w:bCs/>
    </w:rPr>
  </w:style>
  <w:style w:type="paragraph" w:customStyle="1" w:styleId="xl112">
    <w:name w:val="xl112"/>
    <w:basedOn w:val="Normal"/>
    <w:rsid w:val="00B661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Arial"/>
    </w:rPr>
  </w:style>
  <w:style w:type="paragraph" w:customStyle="1" w:styleId="xl113">
    <w:name w:val="xl113"/>
    <w:basedOn w:val="Normal"/>
    <w:rsid w:val="00B661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color w:val="FF0000"/>
    </w:rPr>
  </w:style>
  <w:style w:type="paragraph" w:customStyle="1" w:styleId="xl114">
    <w:name w:val="xl114"/>
    <w:basedOn w:val="Normal"/>
    <w:rsid w:val="00B661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115">
    <w:name w:val="xl115"/>
    <w:basedOn w:val="Normal"/>
    <w:rsid w:val="00B661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rPr>
  </w:style>
  <w:style w:type="paragraph" w:customStyle="1" w:styleId="xl116">
    <w:name w:val="xl116"/>
    <w:basedOn w:val="Normal"/>
    <w:rsid w:val="00B6614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bCs/>
    </w:rPr>
  </w:style>
  <w:style w:type="paragraph" w:customStyle="1" w:styleId="xl117">
    <w:name w:val="xl117"/>
    <w:basedOn w:val="Normal"/>
    <w:rsid w:val="00B6614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Arial"/>
      <w:b/>
      <w:bCs/>
    </w:rPr>
  </w:style>
  <w:style w:type="paragraph" w:customStyle="1" w:styleId="xl118">
    <w:name w:val="xl118"/>
    <w:basedOn w:val="Normal"/>
    <w:rsid w:val="00B6614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Arial"/>
      <w:b/>
      <w:bCs/>
    </w:rPr>
  </w:style>
  <w:style w:type="paragraph" w:customStyle="1" w:styleId="xl119">
    <w:name w:val="xl119"/>
    <w:basedOn w:val="Normal"/>
    <w:rsid w:val="00B6614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Arial"/>
      <w:b/>
      <w:bCs/>
    </w:rPr>
  </w:style>
  <w:style w:type="paragraph" w:customStyle="1" w:styleId="xl120">
    <w:name w:val="xl120"/>
    <w:basedOn w:val="Normal"/>
    <w:rsid w:val="00B6614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rFonts w:eastAsia="Times New Roman" w:cs="Arial"/>
      <w:b/>
      <w:bCs/>
    </w:rPr>
  </w:style>
  <w:style w:type="paragraph" w:customStyle="1" w:styleId="xl121">
    <w:name w:val="xl121"/>
    <w:basedOn w:val="Normal"/>
    <w:rsid w:val="00B66147"/>
    <w:pPr>
      <w:pBdr>
        <w:top w:val="single" w:sz="4" w:space="0" w:color="auto"/>
        <w:bottom w:val="single" w:sz="4" w:space="0" w:color="auto"/>
      </w:pBdr>
      <w:shd w:val="clear" w:color="000000" w:fill="FABF8F"/>
      <w:spacing w:before="100" w:beforeAutospacing="1" w:after="100" w:afterAutospacing="1"/>
      <w:jc w:val="center"/>
      <w:textAlignment w:val="center"/>
    </w:pPr>
    <w:rPr>
      <w:rFonts w:eastAsia="Times New Roman" w:cs="Arial"/>
      <w:b/>
      <w:bCs/>
    </w:rPr>
  </w:style>
  <w:style w:type="paragraph" w:customStyle="1" w:styleId="xl122">
    <w:name w:val="xl122"/>
    <w:basedOn w:val="Normal"/>
    <w:rsid w:val="00B66147"/>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Arial"/>
      <w:b/>
      <w:bCs/>
    </w:rPr>
  </w:style>
  <w:style w:type="paragraph" w:customStyle="1" w:styleId="xl123">
    <w:name w:val="xl123"/>
    <w:basedOn w:val="Normal"/>
    <w:rsid w:val="00B66147"/>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rFonts w:eastAsia="Times New Roman" w:cs="Arial"/>
      <w:b/>
      <w:bCs/>
    </w:rPr>
  </w:style>
  <w:style w:type="paragraph" w:customStyle="1" w:styleId="xl124">
    <w:name w:val="xl124"/>
    <w:basedOn w:val="Normal"/>
    <w:rsid w:val="00B66147"/>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eastAsia="Times New Roman" w:cs="Arial"/>
      <w:b/>
      <w:bCs/>
    </w:rPr>
  </w:style>
  <w:style w:type="paragraph" w:customStyle="1" w:styleId="xl125">
    <w:name w:val="xl125"/>
    <w:basedOn w:val="Normal"/>
    <w:rsid w:val="00B6614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eastAsia="Times New Roman" w:cs="Arial"/>
      <w:b/>
      <w:bCs/>
    </w:rPr>
  </w:style>
  <w:style w:type="paragraph" w:customStyle="1" w:styleId="xl126">
    <w:name w:val="xl126"/>
    <w:basedOn w:val="Normal"/>
    <w:rsid w:val="00B6614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Arial"/>
      <w:b/>
      <w:bCs/>
    </w:rPr>
  </w:style>
  <w:style w:type="paragraph" w:customStyle="1" w:styleId="xl127">
    <w:name w:val="xl127"/>
    <w:basedOn w:val="Normal"/>
    <w:rsid w:val="00B6614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Arial"/>
      <w:b/>
      <w:bCs/>
    </w:rPr>
  </w:style>
  <w:style w:type="paragraph" w:customStyle="1" w:styleId="xl128">
    <w:name w:val="xl128"/>
    <w:basedOn w:val="Normal"/>
    <w:rsid w:val="00B661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Arial"/>
      <w:b/>
      <w:bCs/>
    </w:rPr>
  </w:style>
  <w:style w:type="paragraph" w:customStyle="1" w:styleId="xl129">
    <w:name w:val="xl129"/>
    <w:basedOn w:val="Normal"/>
    <w:rsid w:val="00B66147"/>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eastAsia="Times New Roman" w:cs="Arial"/>
      <w:b/>
      <w:bCs/>
    </w:rPr>
  </w:style>
  <w:style w:type="paragraph" w:customStyle="1" w:styleId="xl130">
    <w:name w:val="xl130"/>
    <w:basedOn w:val="Normal"/>
    <w:rsid w:val="00B66147"/>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1">
    <w:name w:val="xl131"/>
    <w:basedOn w:val="Normal"/>
    <w:rsid w:val="00B66147"/>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2">
    <w:name w:val="xl132"/>
    <w:basedOn w:val="Normal"/>
    <w:rsid w:val="00B66147"/>
    <w:pPr>
      <w:pBdr>
        <w:top w:val="single" w:sz="4" w:space="0" w:color="auto"/>
        <w:left w:val="single" w:sz="4" w:space="0" w:color="auto"/>
        <w:bottom w:val="single" w:sz="4" w:space="0" w:color="auto"/>
      </w:pBdr>
      <w:shd w:val="clear" w:color="000000" w:fill="92CDDC"/>
      <w:spacing w:before="100" w:beforeAutospacing="1" w:after="100" w:afterAutospacing="1"/>
      <w:textAlignment w:val="center"/>
    </w:pPr>
    <w:rPr>
      <w:rFonts w:eastAsia="Times New Roman" w:cs="Arial"/>
      <w:b/>
      <w:bCs/>
    </w:rPr>
  </w:style>
  <w:style w:type="paragraph" w:customStyle="1" w:styleId="xl133">
    <w:name w:val="xl133"/>
    <w:basedOn w:val="Normal"/>
    <w:rsid w:val="00B66147"/>
    <w:pPr>
      <w:pBdr>
        <w:top w:val="single" w:sz="4" w:space="0" w:color="auto"/>
        <w:bottom w:val="single" w:sz="4" w:space="0" w:color="auto"/>
      </w:pBdr>
      <w:shd w:val="clear" w:color="000000" w:fill="92CDDC"/>
      <w:spacing w:before="100" w:beforeAutospacing="1" w:after="100" w:afterAutospacing="1"/>
      <w:textAlignment w:val="center"/>
    </w:pPr>
    <w:rPr>
      <w:rFonts w:eastAsia="Times New Roman" w:cs="Arial"/>
      <w:b/>
      <w:bCs/>
    </w:rPr>
  </w:style>
  <w:style w:type="paragraph" w:customStyle="1" w:styleId="xl134">
    <w:name w:val="xl134"/>
    <w:basedOn w:val="Normal"/>
    <w:rsid w:val="00B66147"/>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135">
    <w:name w:val="xl135"/>
    <w:basedOn w:val="Normal"/>
    <w:rsid w:val="00B66147"/>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character" w:customStyle="1" w:styleId="tgc">
    <w:name w:val="_tgc"/>
    <w:basedOn w:val="DefaultParagraphFont"/>
    <w:rsid w:val="008B37AD"/>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22261"/>
    <w:pPr>
      <w:spacing w:after="160" w:line="240" w:lineRule="exact"/>
      <w:jc w:val="both"/>
    </w:pPr>
    <w:rPr>
      <w:rFonts w:asciiTheme="minorHAnsi" w:hAnsiTheme="minorHAnsi"/>
      <w:vertAlign w:val="superscript"/>
      <w:lang w:val="en-GB"/>
    </w:rPr>
  </w:style>
  <w:style w:type="paragraph" w:customStyle="1" w:styleId="Paragraph">
    <w:name w:val="Paragraph"/>
    <w:basedOn w:val="Normal"/>
    <w:rsid w:val="00D22261"/>
    <w:rPr>
      <w:rFonts w:eastAsia="MS Mincho" w:cs="Times New Roman"/>
      <w:sz w:val="20"/>
      <w:szCs w:val="24"/>
    </w:rPr>
  </w:style>
  <w:style w:type="paragraph" w:customStyle="1" w:styleId="Empty">
    <w:name w:val="Empty"/>
    <w:basedOn w:val="Normal"/>
    <w:link w:val="EmptyChar"/>
    <w:rsid w:val="00D22261"/>
    <w:rPr>
      <w:rFonts w:eastAsia="MS Mincho" w:cs="Times New Roman"/>
      <w:sz w:val="20"/>
      <w:szCs w:val="24"/>
    </w:rPr>
  </w:style>
  <w:style w:type="character" w:customStyle="1" w:styleId="EmptyChar">
    <w:name w:val="Empty Char"/>
    <w:link w:val="Empty"/>
    <w:rsid w:val="00D22261"/>
    <w:rPr>
      <w:rFonts w:ascii="Arial" w:eastAsia="MS Mincho" w:hAnsi="Arial" w:cs="Times New Roman"/>
      <w:sz w:val="20"/>
      <w:szCs w:val="24"/>
      <w:lang w:val="en-US"/>
    </w:rPr>
  </w:style>
  <w:style w:type="character" w:customStyle="1" w:styleId="Heading6Char">
    <w:name w:val="Heading 6 Char"/>
    <w:basedOn w:val="DefaultParagraphFont"/>
    <w:link w:val="Heading6"/>
    <w:uiPriority w:val="9"/>
    <w:rsid w:val="002A0A99"/>
    <w:rPr>
      <w:rFonts w:asciiTheme="majorHAnsi" w:eastAsiaTheme="majorEastAsia" w:hAnsiTheme="majorHAnsi" w:cstheme="majorBidi"/>
      <w:color w:val="004D7E" w:themeColor="accent1" w:themeShade="7F"/>
    </w:rPr>
  </w:style>
  <w:style w:type="paragraph" w:customStyle="1" w:styleId="BVIfnrCarCar1">
    <w:name w:val="BVI fnr Car Car1"/>
    <w:aliases w:val="BVI fnr Car Car, BVI fnr Car Car Car Car1, BVI fnr Car Car Car Car Car Car, BVI fnr Car Car Car Car Char Car Car Car,ftref Car,nota pié di pagina Car,FNRefe Char Car,BVI fnr Char Car,fr Car C,BVI fnr Car Car Car Car1"/>
    <w:basedOn w:val="Normal"/>
    <w:uiPriority w:val="99"/>
    <w:rsid w:val="002A0A99"/>
    <w:pPr>
      <w:spacing w:after="160" w:line="240" w:lineRule="exact"/>
    </w:pPr>
    <w:rPr>
      <w:rFonts w:asciiTheme="minorHAnsi" w:hAnsiTheme="minorHAnsi"/>
      <w:vertAlign w:val="superscript"/>
      <w:lang w:val="en-GB"/>
    </w:rPr>
  </w:style>
  <w:style w:type="character" w:customStyle="1" w:styleId="apple-converted-space">
    <w:name w:val="apple-converted-space"/>
    <w:basedOn w:val="DefaultParagraphFont"/>
    <w:rsid w:val="00DB1C59"/>
  </w:style>
  <w:style w:type="character" w:customStyle="1" w:styleId="FootnoteReference1">
    <w:name w:val="Footnote Reference1"/>
    <w:rsid w:val="004C2983"/>
    <w:rPr>
      <w:color w:val="000000"/>
      <w:sz w:val="22"/>
      <w:vertAlign w:val="superscript"/>
    </w:rPr>
  </w:style>
  <w:style w:type="character" w:customStyle="1" w:styleId="Hyperlink1">
    <w:name w:val="Hyperlink1"/>
    <w:rsid w:val="004C2983"/>
    <w:rPr>
      <w:color w:val="0028F9"/>
      <w:sz w:val="22"/>
      <w:u w:val="single"/>
    </w:rPr>
  </w:style>
  <w:style w:type="paragraph" w:customStyle="1" w:styleId="p">
    <w:name w:val="p"/>
    <w:basedOn w:val="Normal"/>
    <w:rsid w:val="00EC6D5C"/>
    <w:pPr>
      <w:spacing w:before="100" w:beforeAutospacing="1" w:after="100" w:afterAutospacing="1"/>
    </w:pPr>
    <w:rPr>
      <w:rFonts w:ascii="Times New Roman" w:eastAsia="Times New Roman" w:hAnsi="Times New Roman" w:cs="Times New Roman"/>
      <w:sz w:val="24"/>
      <w:szCs w:val="24"/>
    </w:rPr>
  </w:style>
  <w:style w:type="character" w:customStyle="1" w:styleId="mixed-citation">
    <w:name w:val="mixed-citation"/>
    <w:basedOn w:val="DefaultParagraphFont"/>
    <w:rsid w:val="00982AA0"/>
  </w:style>
  <w:style w:type="character" w:customStyle="1" w:styleId="nowrap">
    <w:name w:val="nowrap"/>
    <w:basedOn w:val="DefaultParagraphFont"/>
    <w:rsid w:val="00B055B1"/>
  </w:style>
  <w:style w:type="character" w:customStyle="1" w:styleId="st1">
    <w:name w:val="st1"/>
    <w:basedOn w:val="DefaultParagraphFont"/>
    <w:rsid w:val="000C7180"/>
  </w:style>
  <w:style w:type="character" w:customStyle="1" w:styleId="ref-journal">
    <w:name w:val="ref-journal"/>
    <w:basedOn w:val="DefaultParagraphFont"/>
    <w:rsid w:val="004C63E3"/>
  </w:style>
  <w:style w:type="character" w:customStyle="1" w:styleId="element-citation">
    <w:name w:val="element-citation"/>
    <w:basedOn w:val="DefaultParagraphFont"/>
    <w:rsid w:val="00EB28E9"/>
  </w:style>
  <w:style w:type="paragraph" w:styleId="PlainText">
    <w:name w:val="Plain Text"/>
    <w:basedOn w:val="Normal"/>
    <w:link w:val="PlainTextChar"/>
    <w:uiPriority w:val="99"/>
    <w:unhideWhenUsed/>
    <w:rsid w:val="00550BBD"/>
    <w:rPr>
      <w:rFonts w:cs="Arial"/>
      <w:sz w:val="20"/>
      <w:szCs w:val="20"/>
      <w:lang w:val="en-GB" w:eastAsia="en-GB"/>
    </w:rPr>
  </w:style>
  <w:style w:type="character" w:customStyle="1" w:styleId="PlainTextChar">
    <w:name w:val="Plain Text Char"/>
    <w:basedOn w:val="DefaultParagraphFont"/>
    <w:link w:val="PlainText"/>
    <w:uiPriority w:val="99"/>
    <w:rsid w:val="00550BBD"/>
    <w:rPr>
      <w:rFonts w:ascii="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3510">
      <w:bodyDiv w:val="1"/>
      <w:marLeft w:val="0"/>
      <w:marRight w:val="0"/>
      <w:marTop w:val="0"/>
      <w:marBottom w:val="0"/>
      <w:divBdr>
        <w:top w:val="none" w:sz="0" w:space="0" w:color="auto"/>
        <w:left w:val="none" w:sz="0" w:space="0" w:color="auto"/>
        <w:bottom w:val="none" w:sz="0" w:space="0" w:color="auto"/>
        <w:right w:val="none" w:sz="0" w:space="0" w:color="auto"/>
      </w:divBdr>
    </w:div>
    <w:div w:id="183639639">
      <w:bodyDiv w:val="1"/>
      <w:marLeft w:val="0"/>
      <w:marRight w:val="0"/>
      <w:marTop w:val="0"/>
      <w:marBottom w:val="0"/>
      <w:divBdr>
        <w:top w:val="none" w:sz="0" w:space="0" w:color="auto"/>
        <w:left w:val="none" w:sz="0" w:space="0" w:color="auto"/>
        <w:bottom w:val="none" w:sz="0" w:space="0" w:color="auto"/>
        <w:right w:val="none" w:sz="0" w:space="0" w:color="auto"/>
      </w:divBdr>
      <w:divsChild>
        <w:div w:id="647831344">
          <w:marLeft w:val="0"/>
          <w:marRight w:val="0"/>
          <w:marTop w:val="0"/>
          <w:marBottom w:val="0"/>
          <w:divBdr>
            <w:top w:val="single" w:sz="2" w:space="0" w:color="2E2E2E"/>
            <w:left w:val="single" w:sz="2" w:space="0" w:color="2E2E2E"/>
            <w:bottom w:val="single" w:sz="2" w:space="0" w:color="2E2E2E"/>
            <w:right w:val="single" w:sz="2" w:space="0" w:color="2E2E2E"/>
          </w:divBdr>
          <w:divsChild>
            <w:div w:id="1736925412">
              <w:marLeft w:val="0"/>
              <w:marRight w:val="0"/>
              <w:marTop w:val="0"/>
              <w:marBottom w:val="0"/>
              <w:divBdr>
                <w:top w:val="single" w:sz="6" w:space="0" w:color="C9C9C9"/>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sChild>
                    <w:div w:id="452292450">
                      <w:marLeft w:val="0"/>
                      <w:marRight w:val="0"/>
                      <w:marTop w:val="0"/>
                      <w:marBottom w:val="0"/>
                      <w:divBdr>
                        <w:top w:val="none" w:sz="0" w:space="0" w:color="auto"/>
                        <w:left w:val="none" w:sz="0" w:space="0" w:color="auto"/>
                        <w:bottom w:val="none" w:sz="0" w:space="0" w:color="auto"/>
                        <w:right w:val="none" w:sz="0" w:space="0" w:color="auto"/>
                      </w:divBdr>
                      <w:divsChild>
                        <w:div w:id="15928838">
                          <w:marLeft w:val="0"/>
                          <w:marRight w:val="0"/>
                          <w:marTop w:val="0"/>
                          <w:marBottom w:val="0"/>
                          <w:divBdr>
                            <w:top w:val="none" w:sz="0" w:space="0" w:color="auto"/>
                            <w:left w:val="none" w:sz="0" w:space="0" w:color="auto"/>
                            <w:bottom w:val="none" w:sz="0" w:space="0" w:color="auto"/>
                            <w:right w:val="none" w:sz="0" w:space="0" w:color="auto"/>
                          </w:divBdr>
                          <w:divsChild>
                            <w:div w:id="3480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5476">
      <w:bodyDiv w:val="1"/>
      <w:marLeft w:val="0"/>
      <w:marRight w:val="0"/>
      <w:marTop w:val="0"/>
      <w:marBottom w:val="0"/>
      <w:divBdr>
        <w:top w:val="none" w:sz="0" w:space="0" w:color="auto"/>
        <w:left w:val="none" w:sz="0" w:space="0" w:color="auto"/>
        <w:bottom w:val="none" w:sz="0" w:space="0" w:color="auto"/>
        <w:right w:val="none" w:sz="0" w:space="0" w:color="auto"/>
      </w:divBdr>
    </w:div>
    <w:div w:id="307783200">
      <w:bodyDiv w:val="1"/>
      <w:marLeft w:val="0"/>
      <w:marRight w:val="0"/>
      <w:marTop w:val="0"/>
      <w:marBottom w:val="0"/>
      <w:divBdr>
        <w:top w:val="none" w:sz="0" w:space="0" w:color="auto"/>
        <w:left w:val="none" w:sz="0" w:space="0" w:color="auto"/>
        <w:bottom w:val="none" w:sz="0" w:space="0" w:color="auto"/>
        <w:right w:val="none" w:sz="0" w:space="0" w:color="auto"/>
      </w:divBdr>
    </w:div>
    <w:div w:id="394083350">
      <w:bodyDiv w:val="1"/>
      <w:marLeft w:val="0"/>
      <w:marRight w:val="0"/>
      <w:marTop w:val="0"/>
      <w:marBottom w:val="0"/>
      <w:divBdr>
        <w:top w:val="none" w:sz="0" w:space="0" w:color="auto"/>
        <w:left w:val="none" w:sz="0" w:space="0" w:color="auto"/>
        <w:bottom w:val="none" w:sz="0" w:space="0" w:color="auto"/>
        <w:right w:val="none" w:sz="0" w:space="0" w:color="auto"/>
      </w:divBdr>
    </w:div>
    <w:div w:id="428694968">
      <w:bodyDiv w:val="1"/>
      <w:marLeft w:val="0"/>
      <w:marRight w:val="0"/>
      <w:marTop w:val="0"/>
      <w:marBottom w:val="0"/>
      <w:divBdr>
        <w:top w:val="none" w:sz="0" w:space="0" w:color="auto"/>
        <w:left w:val="none" w:sz="0" w:space="0" w:color="auto"/>
        <w:bottom w:val="none" w:sz="0" w:space="0" w:color="auto"/>
        <w:right w:val="none" w:sz="0" w:space="0" w:color="auto"/>
      </w:divBdr>
      <w:divsChild>
        <w:div w:id="1367177942">
          <w:marLeft w:val="0"/>
          <w:marRight w:val="0"/>
          <w:marTop w:val="0"/>
          <w:marBottom w:val="0"/>
          <w:divBdr>
            <w:top w:val="none" w:sz="0" w:space="0" w:color="auto"/>
            <w:left w:val="none" w:sz="0" w:space="0" w:color="auto"/>
            <w:bottom w:val="none" w:sz="0" w:space="0" w:color="auto"/>
            <w:right w:val="none" w:sz="0" w:space="0" w:color="auto"/>
          </w:divBdr>
          <w:divsChild>
            <w:div w:id="1463763601">
              <w:marLeft w:val="0"/>
              <w:marRight w:val="0"/>
              <w:marTop w:val="0"/>
              <w:marBottom w:val="0"/>
              <w:divBdr>
                <w:top w:val="single" w:sz="36" w:space="0" w:color="E4E6E3"/>
                <w:left w:val="single" w:sz="36" w:space="0" w:color="E4E6E3"/>
                <w:bottom w:val="single" w:sz="36" w:space="8" w:color="E4E6E3"/>
                <w:right w:val="single" w:sz="36" w:space="0" w:color="E4E6E3"/>
              </w:divBdr>
              <w:divsChild>
                <w:div w:id="13547705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73254092">
      <w:bodyDiv w:val="1"/>
      <w:marLeft w:val="0"/>
      <w:marRight w:val="0"/>
      <w:marTop w:val="0"/>
      <w:marBottom w:val="0"/>
      <w:divBdr>
        <w:top w:val="single" w:sz="2" w:space="0" w:color="000000"/>
        <w:left w:val="none" w:sz="0" w:space="0" w:color="auto"/>
        <w:bottom w:val="none" w:sz="0" w:space="0" w:color="auto"/>
        <w:right w:val="none" w:sz="0" w:space="0" w:color="auto"/>
      </w:divBdr>
      <w:divsChild>
        <w:div w:id="158228367">
          <w:marLeft w:val="0"/>
          <w:marRight w:val="0"/>
          <w:marTop w:val="0"/>
          <w:marBottom w:val="0"/>
          <w:divBdr>
            <w:top w:val="none" w:sz="0" w:space="0" w:color="auto"/>
            <w:left w:val="none" w:sz="0" w:space="0" w:color="auto"/>
            <w:bottom w:val="none" w:sz="0" w:space="0" w:color="auto"/>
            <w:right w:val="none" w:sz="0" w:space="0" w:color="auto"/>
          </w:divBdr>
          <w:divsChild>
            <w:div w:id="1512723005">
              <w:marLeft w:val="0"/>
              <w:marRight w:val="0"/>
              <w:marTop w:val="0"/>
              <w:marBottom w:val="0"/>
              <w:divBdr>
                <w:top w:val="none" w:sz="0" w:space="0" w:color="auto"/>
                <w:left w:val="none" w:sz="0" w:space="0" w:color="auto"/>
                <w:bottom w:val="none" w:sz="0" w:space="0" w:color="auto"/>
                <w:right w:val="none" w:sz="0" w:space="0" w:color="auto"/>
              </w:divBdr>
              <w:divsChild>
                <w:div w:id="1330207165">
                  <w:marLeft w:val="0"/>
                  <w:marRight w:val="0"/>
                  <w:marTop w:val="0"/>
                  <w:marBottom w:val="0"/>
                  <w:divBdr>
                    <w:top w:val="none" w:sz="0" w:space="0" w:color="auto"/>
                    <w:left w:val="none" w:sz="0" w:space="0" w:color="auto"/>
                    <w:bottom w:val="none" w:sz="0" w:space="0" w:color="auto"/>
                    <w:right w:val="none" w:sz="0" w:space="0" w:color="auto"/>
                  </w:divBdr>
                  <w:divsChild>
                    <w:div w:id="1097409811">
                      <w:marLeft w:val="0"/>
                      <w:marRight w:val="0"/>
                      <w:marTop w:val="0"/>
                      <w:marBottom w:val="0"/>
                      <w:divBdr>
                        <w:top w:val="none" w:sz="0" w:space="0" w:color="auto"/>
                        <w:left w:val="none" w:sz="0" w:space="0" w:color="auto"/>
                        <w:bottom w:val="none" w:sz="0" w:space="0" w:color="auto"/>
                        <w:right w:val="none" w:sz="0" w:space="0" w:color="auto"/>
                      </w:divBdr>
                      <w:divsChild>
                        <w:div w:id="591663807">
                          <w:marLeft w:val="0"/>
                          <w:marRight w:val="0"/>
                          <w:marTop w:val="0"/>
                          <w:marBottom w:val="0"/>
                          <w:divBdr>
                            <w:top w:val="none" w:sz="0" w:space="0" w:color="auto"/>
                            <w:left w:val="none" w:sz="0" w:space="0" w:color="auto"/>
                            <w:bottom w:val="none" w:sz="0" w:space="0" w:color="auto"/>
                            <w:right w:val="none" w:sz="0" w:space="0" w:color="auto"/>
                          </w:divBdr>
                          <w:divsChild>
                            <w:div w:id="1339186850">
                              <w:marLeft w:val="0"/>
                              <w:marRight w:val="0"/>
                              <w:marTop w:val="0"/>
                              <w:marBottom w:val="0"/>
                              <w:divBdr>
                                <w:top w:val="none" w:sz="0" w:space="0" w:color="auto"/>
                                <w:left w:val="none" w:sz="0" w:space="0" w:color="auto"/>
                                <w:bottom w:val="none" w:sz="0" w:space="0" w:color="auto"/>
                                <w:right w:val="none" w:sz="0" w:space="0" w:color="auto"/>
                              </w:divBdr>
                              <w:divsChild>
                                <w:div w:id="7998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730632">
      <w:bodyDiv w:val="1"/>
      <w:marLeft w:val="0"/>
      <w:marRight w:val="0"/>
      <w:marTop w:val="0"/>
      <w:marBottom w:val="0"/>
      <w:divBdr>
        <w:top w:val="none" w:sz="0" w:space="0" w:color="auto"/>
        <w:left w:val="none" w:sz="0" w:space="0" w:color="auto"/>
        <w:bottom w:val="none" w:sz="0" w:space="0" w:color="auto"/>
        <w:right w:val="none" w:sz="0" w:space="0" w:color="auto"/>
      </w:divBdr>
      <w:divsChild>
        <w:div w:id="139227068">
          <w:marLeft w:val="0"/>
          <w:marRight w:val="0"/>
          <w:marTop w:val="0"/>
          <w:marBottom w:val="0"/>
          <w:divBdr>
            <w:top w:val="none" w:sz="0" w:space="0" w:color="auto"/>
            <w:left w:val="none" w:sz="0" w:space="0" w:color="auto"/>
            <w:bottom w:val="none" w:sz="0" w:space="0" w:color="auto"/>
            <w:right w:val="none" w:sz="0" w:space="0" w:color="auto"/>
          </w:divBdr>
          <w:divsChild>
            <w:div w:id="238910416">
              <w:marLeft w:val="0"/>
              <w:marRight w:val="0"/>
              <w:marTop w:val="0"/>
              <w:marBottom w:val="0"/>
              <w:divBdr>
                <w:top w:val="none" w:sz="0" w:space="0" w:color="auto"/>
                <w:left w:val="none" w:sz="0" w:space="0" w:color="auto"/>
                <w:bottom w:val="none" w:sz="0" w:space="0" w:color="auto"/>
                <w:right w:val="none" w:sz="0" w:space="0" w:color="auto"/>
              </w:divBdr>
              <w:divsChild>
                <w:div w:id="161238202">
                  <w:marLeft w:val="0"/>
                  <w:marRight w:val="0"/>
                  <w:marTop w:val="0"/>
                  <w:marBottom w:val="0"/>
                  <w:divBdr>
                    <w:top w:val="none" w:sz="0" w:space="0" w:color="auto"/>
                    <w:left w:val="none" w:sz="0" w:space="0" w:color="auto"/>
                    <w:bottom w:val="none" w:sz="0" w:space="0" w:color="auto"/>
                    <w:right w:val="none" w:sz="0" w:space="0" w:color="auto"/>
                  </w:divBdr>
                  <w:divsChild>
                    <w:div w:id="708451177">
                      <w:marLeft w:val="0"/>
                      <w:marRight w:val="0"/>
                      <w:marTop w:val="0"/>
                      <w:marBottom w:val="0"/>
                      <w:divBdr>
                        <w:top w:val="none" w:sz="0" w:space="0" w:color="auto"/>
                        <w:left w:val="none" w:sz="0" w:space="0" w:color="auto"/>
                        <w:bottom w:val="none" w:sz="0" w:space="0" w:color="auto"/>
                        <w:right w:val="none" w:sz="0" w:space="0" w:color="auto"/>
                      </w:divBdr>
                      <w:divsChild>
                        <w:div w:id="320549305">
                          <w:marLeft w:val="0"/>
                          <w:marRight w:val="0"/>
                          <w:marTop w:val="0"/>
                          <w:marBottom w:val="0"/>
                          <w:divBdr>
                            <w:top w:val="none" w:sz="0" w:space="0" w:color="auto"/>
                            <w:left w:val="none" w:sz="0" w:space="0" w:color="auto"/>
                            <w:bottom w:val="none" w:sz="0" w:space="0" w:color="auto"/>
                            <w:right w:val="none" w:sz="0" w:space="0" w:color="auto"/>
                          </w:divBdr>
                          <w:divsChild>
                            <w:div w:id="1931308841">
                              <w:marLeft w:val="0"/>
                              <w:marRight w:val="0"/>
                              <w:marTop w:val="0"/>
                              <w:marBottom w:val="0"/>
                              <w:divBdr>
                                <w:top w:val="none" w:sz="0" w:space="0" w:color="auto"/>
                                <w:left w:val="none" w:sz="0" w:space="0" w:color="auto"/>
                                <w:bottom w:val="none" w:sz="0" w:space="0" w:color="auto"/>
                                <w:right w:val="none" w:sz="0" w:space="0" w:color="auto"/>
                              </w:divBdr>
                              <w:divsChild>
                                <w:div w:id="1093089924">
                                  <w:marLeft w:val="0"/>
                                  <w:marRight w:val="0"/>
                                  <w:marTop w:val="0"/>
                                  <w:marBottom w:val="0"/>
                                  <w:divBdr>
                                    <w:top w:val="none" w:sz="0" w:space="0" w:color="auto"/>
                                    <w:left w:val="none" w:sz="0" w:space="0" w:color="auto"/>
                                    <w:bottom w:val="none" w:sz="0" w:space="0" w:color="auto"/>
                                    <w:right w:val="none" w:sz="0" w:space="0" w:color="auto"/>
                                  </w:divBdr>
                                  <w:divsChild>
                                    <w:div w:id="758869345">
                                      <w:marLeft w:val="0"/>
                                      <w:marRight w:val="0"/>
                                      <w:marTop w:val="0"/>
                                      <w:marBottom w:val="0"/>
                                      <w:divBdr>
                                        <w:top w:val="none" w:sz="0" w:space="0" w:color="auto"/>
                                        <w:left w:val="none" w:sz="0" w:space="0" w:color="auto"/>
                                        <w:bottom w:val="none" w:sz="0" w:space="0" w:color="auto"/>
                                        <w:right w:val="none" w:sz="0" w:space="0" w:color="auto"/>
                                      </w:divBdr>
                                      <w:divsChild>
                                        <w:div w:id="2050565948">
                                          <w:marLeft w:val="0"/>
                                          <w:marRight w:val="0"/>
                                          <w:marTop w:val="0"/>
                                          <w:marBottom w:val="0"/>
                                          <w:divBdr>
                                            <w:top w:val="none" w:sz="0" w:space="0" w:color="auto"/>
                                            <w:left w:val="none" w:sz="0" w:space="0" w:color="auto"/>
                                            <w:bottom w:val="none" w:sz="0" w:space="0" w:color="auto"/>
                                            <w:right w:val="none" w:sz="0" w:space="0" w:color="auto"/>
                                          </w:divBdr>
                                          <w:divsChild>
                                            <w:div w:id="621410">
                                              <w:marLeft w:val="0"/>
                                              <w:marRight w:val="0"/>
                                              <w:marTop w:val="0"/>
                                              <w:marBottom w:val="0"/>
                                              <w:divBdr>
                                                <w:top w:val="none" w:sz="0" w:space="0" w:color="auto"/>
                                                <w:left w:val="none" w:sz="0" w:space="0" w:color="auto"/>
                                                <w:bottom w:val="none" w:sz="0" w:space="0" w:color="auto"/>
                                                <w:right w:val="none" w:sz="0" w:space="0" w:color="auto"/>
                                              </w:divBdr>
                                              <w:divsChild>
                                                <w:div w:id="13159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860920">
      <w:bodyDiv w:val="1"/>
      <w:marLeft w:val="0"/>
      <w:marRight w:val="0"/>
      <w:marTop w:val="0"/>
      <w:marBottom w:val="0"/>
      <w:divBdr>
        <w:top w:val="none" w:sz="0" w:space="0" w:color="auto"/>
        <w:left w:val="none" w:sz="0" w:space="0" w:color="auto"/>
        <w:bottom w:val="none" w:sz="0" w:space="0" w:color="auto"/>
        <w:right w:val="none" w:sz="0" w:space="0" w:color="auto"/>
      </w:divBdr>
    </w:div>
    <w:div w:id="607005227">
      <w:bodyDiv w:val="1"/>
      <w:marLeft w:val="0"/>
      <w:marRight w:val="0"/>
      <w:marTop w:val="0"/>
      <w:marBottom w:val="0"/>
      <w:divBdr>
        <w:top w:val="none" w:sz="0" w:space="0" w:color="auto"/>
        <w:left w:val="none" w:sz="0" w:space="0" w:color="auto"/>
        <w:bottom w:val="none" w:sz="0" w:space="0" w:color="auto"/>
        <w:right w:val="none" w:sz="0" w:space="0" w:color="auto"/>
      </w:divBdr>
      <w:divsChild>
        <w:div w:id="1136407947">
          <w:marLeft w:val="0"/>
          <w:marRight w:val="0"/>
          <w:marTop w:val="0"/>
          <w:marBottom w:val="0"/>
          <w:divBdr>
            <w:top w:val="none" w:sz="0" w:space="0" w:color="auto"/>
            <w:left w:val="none" w:sz="0" w:space="0" w:color="auto"/>
            <w:bottom w:val="none" w:sz="0" w:space="0" w:color="auto"/>
            <w:right w:val="none" w:sz="0" w:space="0" w:color="auto"/>
          </w:divBdr>
          <w:divsChild>
            <w:div w:id="636759588">
              <w:marLeft w:val="0"/>
              <w:marRight w:val="0"/>
              <w:marTop w:val="0"/>
              <w:marBottom w:val="0"/>
              <w:divBdr>
                <w:top w:val="none" w:sz="0" w:space="0" w:color="auto"/>
                <w:left w:val="single" w:sz="6" w:space="0" w:color="F0F0F0"/>
                <w:bottom w:val="none" w:sz="0" w:space="0" w:color="auto"/>
                <w:right w:val="single" w:sz="6" w:space="0" w:color="F0F0F0"/>
              </w:divBdr>
              <w:divsChild>
                <w:div w:id="185215403">
                  <w:marLeft w:val="0"/>
                  <w:marRight w:val="0"/>
                  <w:marTop w:val="0"/>
                  <w:marBottom w:val="0"/>
                  <w:divBdr>
                    <w:top w:val="none" w:sz="0" w:space="0" w:color="auto"/>
                    <w:left w:val="none" w:sz="0" w:space="0" w:color="auto"/>
                    <w:bottom w:val="none" w:sz="0" w:space="0" w:color="auto"/>
                    <w:right w:val="none" w:sz="0" w:space="0" w:color="auto"/>
                  </w:divBdr>
                  <w:divsChild>
                    <w:div w:id="471218971">
                      <w:marLeft w:val="0"/>
                      <w:marRight w:val="0"/>
                      <w:marTop w:val="0"/>
                      <w:marBottom w:val="0"/>
                      <w:divBdr>
                        <w:top w:val="none" w:sz="0" w:space="0" w:color="auto"/>
                        <w:left w:val="none" w:sz="0" w:space="0" w:color="auto"/>
                        <w:bottom w:val="none" w:sz="0" w:space="0" w:color="auto"/>
                        <w:right w:val="none" w:sz="0" w:space="0" w:color="auto"/>
                      </w:divBdr>
                      <w:divsChild>
                        <w:div w:id="1780030880">
                          <w:marLeft w:val="0"/>
                          <w:marRight w:val="0"/>
                          <w:marTop w:val="0"/>
                          <w:marBottom w:val="0"/>
                          <w:divBdr>
                            <w:top w:val="none" w:sz="0" w:space="0" w:color="auto"/>
                            <w:left w:val="none" w:sz="0" w:space="0" w:color="auto"/>
                            <w:bottom w:val="none" w:sz="0" w:space="0" w:color="auto"/>
                            <w:right w:val="none" w:sz="0" w:space="0" w:color="auto"/>
                          </w:divBdr>
                          <w:divsChild>
                            <w:div w:id="1730035422">
                              <w:marLeft w:val="0"/>
                              <w:marRight w:val="0"/>
                              <w:marTop w:val="0"/>
                              <w:marBottom w:val="0"/>
                              <w:divBdr>
                                <w:top w:val="none" w:sz="0" w:space="0" w:color="auto"/>
                                <w:left w:val="none" w:sz="0" w:space="0" w:color="auto"/>
                                <w:bottom w:val="none" w:sz="0" w:space="0" w:color="auto"/>
                                <w:right w:val="none" w:sz="0" w:space="0" w:color="auto"/>
                              </w:divBdr>
                              <w:divsChild>
                                <w:div w:id="1705783829">
                                  <w:marLeft w:val="0"/>
                                  <w:marRight w:val="0"/>
                                  <w:marTop w:val="0"/>
                                  <w:marBottom w:val="0"/>
                                  <w:divBdr>
                                    <w:top w:val="none" w:sz="0" w:space="0" w:color="auto"/>
                                    <w:left w:val="none" w:sz="0" w:space="0" w:color="auto"/>
                                    <w:bottom w:val="none" w:sz="0" w:space="0" w:color="auto"/>
                                    <w:right w:val="none" w:sz="0" w:space="0" w:color="auto"/>
                                  </w:divBdr>
                                  <w:divsChild>
                                    <w:div w:id="9072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962009">
      <w:bodyDiv w:val="1"/>
      <w:marLeft w:val="0"/>
      <w:marRight w:val="0"/>
      <w:marTop w:val="0"/>
      <w:marBottom w:val="0"/>
      <w:divBdr>
        <w:top w:val="none" w:sz="0" w:space="0" w:color="auto"/>
        <w:left w:val="none" w:sz="0" w:space="0" w:color="auto"/>
        <w:bottom w:val="none" w:sz="0" w:space="0" w:color="auto"/>
        <w:right w:val="none" w:sz="0" w:space="0" w:color="auto"/>
      </w:divBdr>
    </w:div>
    <w:div w:id="644966354">
      <w:bodyDiv w:val="1"/>
      <w:marLeft w:val="0"/>
      <w:marRight w:val="0"/>
      <w:marTop w:val="0"/>
      <w:marBottom w:val="0"/>
      <w:divBdr>
        <w:top w:val="none" w:sz="0" w:space="0" w:color="auto"/>
        <w:left w:val="none" w:sz="0" w:space="0" w:color="auto"/>
        <w:bottom w:val="none" w:sz="0" w:space="0" w:color="auto"/>
        <w:right w:val="none" w:sz="0" w:space="0" w:color="auto"/>
      </w:divBdr>
      <w:divsChild>
        <w:div w:id="41103891">
          <w:marLeft w:val="0"/>
          <w:marRight w:val="0"/>
          <w:marTop w:val="0"/>
          <w:marBottom w:val="0"/>
          <w:divBdr>
            <w:top w:val="none" w:sz="0" w:space="0" w:color="auto"/>
            <w:left w:val="none" w:sz="0" w:space="0" w:color="auto"/>
            <w:bottom w:val="none" w:sz="0" w:space="0" w:color="auto"/>
            <w:right w:val="none" w:sz="0" w:space="0" w:color="auto"/>
          </w:divBdr>
          <w:divsChild>
            <w:div w:id="1526551214">
              <w:marLeft w:val="0"/>
              <w:marRight w:val="0"/>
              <w:marTop w:val="0"/>
              <w:marBottom w:val="0"/>
              <w:divBdr>
                <w:top w:val="none" w:sz="0" w:space="0" w:color="auto"/>
                <w:left w:val="single" w:sz="6" w:space="0" w:color="F0F0F0"/>
                <w:bottom w:val="none" w:sz="0" w:space="0" w:color="auto"/>
                <w:right w:val="single" w:sz="6" w:space="0" w:color="F0F0F0"/>
              </w:divBdr>
              <w:divsChild>
                <w:div w:id="2093888658">
                  <w:marLeft w:val="0"/>
                  <w:marRight w:val="0"/>
                  <w:marTop w:val="0"/>
                  <w:marBottom w:val="0"/>
                  <w:divBdr>
                    <w:top w:val="none" w:sz="0" w:space="0" w:color="auto"/>
                    <w:left w:val="none" w:sz="0" w:space="0" w:color="auto"/>
                    <w:bottom w:val="none" w:sz="0" w:space="0" w:color="auto"/>
                    <w:right w:val="none" w:sz="0" w:space="0" w:color="auto"/>
                  </w:divBdr>
                  <w:divsChild>
                    <w:div w:id="1735737171">
                      <w:marLeft w:val="0"/>
                      <w:marRight w:val="0"/>
                      <w:marTop w:val="0"/>
                      <w:marBottom w:val="0"/>
                      <w:divBdr>
                        <w:top w:val="none" w:sz="0" w:space="0" w:color="auto"/>
                        <w:left w:val="none" w:sz="0" w:space="0" w:color="auto"/>
                        <w:bottom w:val="none" w:sz="0" w:space="0" w:color="auto"/>
                        <w:right w:val="none" w:sz="0" w:space="0" w:color="auto"/>
                      </w:divBdr>
                      <w:divsChild>
                        <w:div w:id="865872114">
                          <w:marLeft w:val="0"/>
                          <w:marRight w:val="0"/>
                          <w:marTop w:val="0"/>
                          <w:marBottom w:val="0"/>
                          <w:divBdr>
                            <w:top w:val="none" w:sz="0" w:space="0" w:color="auto"/>
                            <w:left w:val="none" w:sz="0" w:space="0" w:color="auto"/>
                            <w:bottom w:val="none" w:sz="0" w:space="0" w:color="auto"/>
                            <w:right w:val="none" w:sz="0" w:space="0" w:color="auto"/>
                          </w:divBdr>
                          <w:divsChild>
                            <w:div w:id="1404371065">
                              <w:marLeft w:val="0"/>
                              <w:marRight w:val="0"/>
                              <w:marTop w:val="0"/>
                              <w:marBottom w:val="0"/>
                              <w:divBdr>
                                <w:top w:val="none" w:sz="0" w:space="0" w:color="auto"/>
                                <w:left w:val="none" w:sz="0" w:space="0" w:color="auto"/>
                                <w:bottom w:val="none" w:sz="0" w:space="0" w:color="auto"/>
                                <w:right w:val="none" w:sz="0" w:space="0" w:color="auto"/>
                              </w:divBdr>
                              <w:divsChild>
                                <w:div w:id="1384669580">
                                  <w:marLeft w:val="0"/>
                                  <w:marRight w:val="0"/>
                                  <w:marTop w:val="0"/>
                                  <w:marBottom w:val="0"/>
                                  <w:divBdr>
                                    <w:top w:val="none" w:sz="0" w:space="0" w:color="auto"/>
                                    <w:left w:val="none" w:sz="0" w:space="0" w:color="auto"/>
                                    <w:bottom w:val="none" w:sz="0" w:space="0" w:color="auto"/>
                                    <w:right w:val="none" w:sz="0" w:space="0" w:color="auto"/>
                                  </w:divBdr>
                                  <w:divsChild>
                                    <w:div w:id="816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22220">
      <w:bodyDiv w:val="1"/>
      <w:marLeft w:val="0"/>
      <w:marRight w:val="0"/>
      <w:marTop w:val="0"/>
      <w:marBottom w:val="0"/>
      <w:divBdr>
        <w:top w:val="none" w:sz="0" w:space="0" w:color="auto"/>
        <w:left w:val="none" w:sz="0" w:space="0" w:color="auto"/>
        <w:bottom w:val="none" w:sz="0" w:space="0" w:color="auto"/>
        <w:right w:val="none" w:sz="0" w:space="0" w:color="auto"/>
      </w:divBdr>
      <w:divsChild>
        <w:div w:id="2012560746">
          <w:marLeft w:val="0"/>
          <w:marRight w:val="0"/>
          <w:marTop w:val="0"/>
          <w:marBottom w:val="0"/>
          <w:divBdr>
            <w:top w:val="none" w:sz="0" w:space="0" w:color="auto"/>
            <w:left w:val="none" w:sz="0" w:space="0" w:color="auto"/>
            <w:bottom w:val="none" w:sz="0" w:space="0" w:color="auto"/>
            <w:right w:val="none" w:sz="0" w:space="0" w:color="auto"/>
          </w:divBdr>
          <w:divsChild>
            <w:div w:id="943536932">
              <w:marLeft w:val="0"/>
              <w:marRight w:val="0"/>
              <w:marTop w:val="0"/>
              <w:marBottom w:val="0"/>
              <w:divBdr>
                <w:top w:val="none" w:sz="0" w:space="0" w:color="auto"/>
                <w:left w:val="none" w:sz="0" w:space="0" w:color="auto"/>
                <w:bottom w:val="none" w:sz="0" w:space="0" w:color="auto"/>
                <w:right w:val="none" w:sz="0" w:space="0" w:color="auto"/>
              </w:divBdr>
              <w:divsChild>
                <w:div w:id="1507287455">
                  <w:marLeft w:val="0"/>
                  <w:marRight w:val="0"/>
                  <w:marTop w:val="0"/>
                  <w:marBottom w:val="0"/>
                  <w:divBdr>
                    <w:top w:val="none" w:sz="0" w:space="0" w:color="auto"/>
                    <w:left w:val="none" w:sz="0" w:space="0" w:color="auto"/>
                    <w:bottom w:val="none" w:sz="0" w:space="0" w:color="auto"/>
                    <w:right w:val="none" w:sz="0" w:space="0" w:color="auto"/>
                  </w:divBdr>
                  <w:divsChild>
                    <w:div w:id="1936551933">
                      <w:marLeft w:val="0"/>
                      <w:marRight w:val="0"/>
                      <w:marTop w:val="0"/>
                      <w:marBottom w:val="0"/>
                      <w:divBdr>
                        <w:top w:val="none" w:sz="0" w:space="0" w:color="auto"/>
                        <w:left w:val="none" w:sz="0" w:space="0" w:color="auto"/>
                        <w:bottom w:val="none" w:sz="0" w:space="0" w:color="auto"/>
                        <w:right w:val="none" w:sz="0" w:space="0" w:color="auto"/>
                      </w:divBdr>
                      <w:divsChild>
                        <w:div w:id="702362547">
                          <w:marLeft w:val="-225"/>
                          <w:marRight w:val="-225"/>
                          <w:marTop w:val="0"/>
                          <w:marBottom w:val="0"/>
                          <w:divBdr>
                            <w:top w:val="none" w:sz="0" w:space="0" w:color="auto"/>
                            <w:left w:val="none" w:sz="0" w:space="0" w:color="auto"/>
                            <w:bottom w:val="none" w:sz="0" w:space="0" w:color="auto"/>
                            <w:right w:val="none" w:sz="0" w:space="0" w:color="auto"/>
                          </w:divBdr>
                          <w:divsChild>
                            <w:div w:id="124347677">
                              <w:marLeft w:val="0"/>
                              <w:marRight w:val="0"/>
                              <w:marTop w:val="0"/>
                              <w:marBottom w:val="0"/>
                              <w:divBdr>
                                <w:top w:val="none" w:sz="0" w:space="0" w:color="auto"/>
                                <w:left w:val="none" w:sz="0" w:space="0" w:color="auto"/>
                                <w:bottom w:val="none" w:sz="0" w:space="0" w:color="auto"/>
                                <w:right w:val="none" w:sz="0" w:space="0" w:color="auto"/>
                              </w:divBdr>
                              <w:divsChild>
                                <w:div w:id="6800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801154">
      <w:bodyDiv w:val="1"/>
      <w:marLeft w:val="0"/>
      <w:marRight w:val="0"/>
      <w:marTop w:val="0"/>
      <w:marBottom w:val="0"/>
      <w:divBdr>
        <w:top w:val="none" w:sz="0" w:space="0" w:color="auto"/>
        <w:left w:val="none" w:sz="0" w:space="0" w:color="auto"/>
        <w:bottom w:val="none" w:sz="0" w:space="0" w:color="auto"/>
        <w:right w:val="none" w:sz="0" w:space="0" w:color="auto"/>
      </w:divBdr>
    </w:div>
    <w:div w:id="798306120">
      <w:bodyDiv w:val="1"/>
      <w:marLeft w:val="0"/>
      <w:marRight w:val="0"/>
      <w:marTop w:val="0"/>
      <w:marBottom w:val="0"/>
      <w:divBdr>
        <w:top w:val="none" w:sz="0" w:space="0" w:color="auto"/>
        <w:left w:val="none" w:sz="0" w:space="0" w:color="auto"/>
        <w:bottom w:val="none" w:sz="0" w:space="0" w:color="auto"/>
        <w:right w:val="none" w:sz="0" w:space="0" w:color="auto"/>
      </w:divBdr>
    </w:div>
    <w:div w:id="812715540">
      <w:bodyDiv w:val="1"/>
      <w:marLeft w:val="0"/>
      <w:marRight w:val="0"/>
      <w:marTop w:val="0"/>
      <w:marBottom w:val="0"/>
      <w:divBdr>
        <w:top w:val="none" w:sz="0" w:space="0" w:color="auto"/>
        <w:left w:val="none" w:sz="0" w:space="0" w:color="auto"/>
        <w:bottom w:val="none" w:sz="0" w:space="0" w:color="auto"/>
        <w:right w:val="none" w:sz="0" w:space="0" w:color="auto"/>
      </w:divBdr>
    </w:div>
    <w:div w:id="858005586">
      <w:bodyDiv w:val="1"/>
      <w:marLeft w:val="0"/>
      <w:marRight w:val="0"/>
      <w:marTop w:val="0"/>
      <w:marBottom w:val="0"/>
      <w:divBdr>
        <w:top w:val="none" w:sz="0" w:space="0" w:color="auto"/>
        <w:left w:val="none" w:sz="0" w:space="0" w:color="auto"/>
        <w:bottom w:val="none" w:sz="0" w:space="0" w:color="auto"/>
        <w:right w:val="none" w:sz="0" w:space="0" w:color="auto"/>
      </w:divBdr>
    </w:div>
    <w:div w:id="907181841">
      <w:bodyDiv w:val="1"/>
      <w:marLeft w:val="0"/>
      <w:marRight w:val="0"/>
      <w:marTop w:val="0"/>
      <w:marBottom w:val="0"/>
      <w:divBdr>
        <w:top w:val="none" w:sz="0" w:space="0" w:color="auto"/>
        <w:left w:val="none" w:sz="0" w:space="0" w:color="auto"/>
        <w:bottom w:val="none" w:sz="0" w:space="0" w:color="auto"/>
        <w:right w:val="none" w:sz="0" w:space="0" w:color="auto"/>
      </w:divBdr>
    </w:div>
    <w:div w:id="910819976">
      <w:bodyDiv w:val="1"/>
      <w:marLeft w:val="0"/>
      <w:marRight w:val="0"/>
      <w:marTop w:val="0"/>
      <w:marBottom w:val="0"/>
      <w:divBdr>
        <w:top w:val="none" w:sz="0" w:space="0" w:color="auto"/>
        <w:left w:val="none" w:sz="0" w:space="0" w:color="auto"/>
        <w:bottom w:val="none" w:sz="0" w:space="0" w:color="auto"/>
        <w:right w:val="none" w:sz="0" w:space="0" w:color="auto"/>
      </w:divBdr>
    </w:div>
    <w:div w:id="928074865">
      <w:bodyDiv w:val="1"/>
      <w:marLeft w:val="0"/>
      <w:marRight w:val="0"/>
      <w:marTop w:val="0"/>
      <w:marBottom w:val="0"/>
      <w:divBdr>
        <w:top w:val="none" w:sz="0" w:space="0" w:color="auto"/>
        <w:left w:val="none" w:sz="0" w:space="0" w:color="auto"/>
        <w:bottom w:val="none" w:sz="0" w:space="0" w:color="auto"/>
        <w:right w:val="none" w:sz="0" w:space="0" w:color="auto"/>
      </w:divBdr>
    </w:div>
    <w:div w:id="1001466925">
      <w:bodyDiv w:val="1"/>
      <w:marLeft w:val="0"/>
      <w:marRight w:val="0"/>
      <w:marTop w:val="0"/>
      <w:marBottom w:val="0"/>
      <w:divBdr>
        <w:top w:val="none" w:sz="0" w:space="0" w:color="auto"/>
        <w:left w:val="none" w:sz="0" w:space="0" w:color="auto"/>
        <w:bottom w:val="none" w:sz="0" w:space="0" w:color="auto"/>
        <w:right w:val="none" w:sz="0" w:space="0" w:color="auto"/>
      </w:divBdr>
    </w:div>
    <w:div w:id="1186867470">
      <w:bodyDiv w:val="1"/>
      <w:marLeft w:val="0"/>
      <w:marRight w:val="0"/>
      <w:marTop w:val="0"/>
      <w:marBottom w:val="0"/>
      <w:divBdr>
        <w:top w:val="none" w:sz="0" w:space="0" w:color="auto"/>
        <w:left w:val="none" w:sz="0" w:space="0" w:color="auto"/>
        <w:bottom w:val="none" w:sz="0" w:space="0" w:color="auto"/>
        <w:right w:val="none" w:sz="0" w:space="0" w:color="auto"/>
      </w:divBdr>
      <w:divsChild>
        <w:div w:id="843978792">
          <w:marLeft w:val="0"/>
          <w:marRight w:val="0"/>
          <w:marTop w:val="0"/>
          <w:marBottom w:val="0"/>
          <w:divBdr>
            <w:top w:val="none" w:sz="0" w:space="0" w:color="auto"/>
            <w:left w:val="none" w:sz="0" w:space="0" w:color="auto"/>
            <w:bottom w:val="none" w:sz="0" w:space="0" w:color="auto"/>
            <w:right w:val="none" w:sz="0" w:space="0" w:color="auto"/>
          </w:divBdr>
          <w:divsChild>
            <w:div w:id="1079406508">
              <w:marLeft w:val="0"/>
              <w:marRight w:val="0"/>
              <w:marTop w:val="0"/>
              <w:marBottom w:val="0"/>
              <w:divBdr>
                <w:top w:val="none" w:sz="0" w:space="0" w:color="auto"/>
                <w:left w:val="none" w:sz="0" w:space="0" w:color="auto"/>
                <w:bottom w:val="none" w:sz="0" w:space="0" w:color="auto"/>
                <w:right w:val="none" w:sz="0" w:space="0" w:color="auto"/>
              </w:divBdr>
              <w:divsChild>
                <w:div w:id="271667264">
                  <w:marLeft w:val="0"/>
                  <w:marRight w:val="0"/>
                  <w:marTop w:val="0"/>
                  <w:marBottom w:val="0"/>
                  <w:divBdr>
                    <w:top w:val="none" w:sz="0" w:space="0" w:color="auto"/>
                    <w:left w:val="none" w:sz="0" w:space="0" w:color="auto"/>
                    <w:bottom w:val="none" w:sz="0" w:space="0" w:color="auto"/>
                    <w:right w:val="none" w:sz="0" w:space="0" w:color="auto"/>
                  </w:divBdr>
                  <w:divsChild>
                    <w:div w:id="1154685851">
                      <w:marLeft w:val="0"/>
                      <w:marRight w:val="0"/>
                      <w:marTop w:val="0"/>
                      <w:marBottom w:val="0"/>
                      <w:divBdr>
                        <w:top w:val="none" w:sz="0" w:space="0" w:color="auto"/>
                        <w:left w:val="none" w:sz="0" w:space="0" w:color="auto"/>
                        <w:bottom w:val="none" w:sz="0" w:space="0" w:color="auto"/>
                        <w:right w:val="none" w:sz="0" w:space="0" w:color="auto"/>
                      </w:divBdr>
                      <w:divsChild>
                        <w:div w:id="1428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83020">
      <w:bodyDiv w:val="1"/>
      <w:marLeft w:val="0"/>
      <w:marRight w:val="0"/>
      <w:marTop w:val="0"/>
      <w:marBottom w:val="0"/>
      <w:divBdr>
        <w:top w:val="none" w:sz="0" w:space="0" w:color="auto"/>
        <w:left w:val="none" w:sz="0" w:space="0" w:color="auto"/>
        <w:bottom w:val="none" w:sz="0" w:space="0" w:color="auto"/>
        <w:right w:val="none" w:sz="0" w:space="0" w:color="auto"/>
      </w:divBdr>
    </w:div>
    <w:div w:id="1324772624">
      <w:bodyDiv w:val="1"/>
      <w:marLeft w:val="0"/>
      <w:marRight w:val="0"/>
      <w:marTop w:val="0"/>
      <w:marBottom w:val="0"/>
      <w:divBdr>
        <w:top w:val="none" w:sz="0" w:space="0" w:color="auto"/>
        <w:left w:val="none" w:sz="0" w:space="0" w:color="auto"/>
        <w:bottom w:val="none" w:sz="0" w:space="0" w:color="auto"/>
        <w:right w:val="none" w:sz="0" w:space="0" w:color="auto"/>
      </w:divBdr>
    </w:div>
    <w:div w:id="1384254086">
      <w:bodyDiv w:val="1"/>
      <w:marLeft w:val="0"/>
      <w:marRight w:val="0"/>
      <w:marTop w:val="0"/>
      <w:marBottom w:val="0"/>
      <w:divBdr>
        <w:top w:val="none" w:sz="0" w:space="0" w:color="auto"/>
        <w:left w:val="none" w:sz="0" w:space="0" w:color="auto"/>
        <w:bottom w:val="none" w:sz="0" w:space="0" w:color="auto"/>
        <w:right w:val="none" w:sz="0" w:space="0" w:color="auto"/>
      </w:divBdr>
      <w:divsChild>
        <w:div w:id="1530677919">
          <w:marLeft w:val="0"/>
          <w:marRight w:val="0"/>
          <w:marTop w:val="0"/>
          <w:marBottom w:val="0"/>
          <w:divBdr>
            <w:top w:val="none" w:sz="0" w:space="0" w:color="auto"/>
            <w:left w:val="none" w:sz="0" w:space="0" w:color="auto"/>
            <w:bottom w:val="none" w:sz="0" w:space="0" w:color="auto"/>
            <w:right w:val="none" w:sz="0" w:space="0" w:color="auto"/>
          </w:divBdr>
          <w:divsChild>
            <w:div w:id="262223011">
              <w:marLeft w:val="0"/>
              <w:marRight w:val="0"/>
              <w:marTop w:val="0"/>
              <w:marBottom w:val="0"/>
              <w:divBdr>
                <w:top w:val="none" w:sz="0" w:space="0" w:color="auto"/>
                <w:left w:val="none" w:sz="0" w:space="0" w:color="auto"/>
                <w:bottom w:val="none" w:sz="0" w:space="0" w:color="auto"/>
                <w:right w:val="none" w:sz="0" w:space="0" w:color="auto"/>
              </w:divBdr>
              <w:divsChild>
                <w:div w:id="1576665138">
                  <w:marLeft w:val="0"/>
                  <w:marRight w:val="0"/>
                  <w:marTop w:val="0"/>
                  <w:marBottom w:val="0"/>
                  <w:divBdr>
                    <w:top w:val="none" w:sz="0" w:space="0" w:color="auto"/>
                    <w:left w:val="none" w:sz="0" w:space="0" w:color="auto"/>
                    <w:bottom w:val="none" w:sz="0" w:space="0" w:color="auto"/>
                    <w:right w:val="none" w:sz="0" w:space="0" w:color="auto"/>
                  </w:divBdr>
                  <w:divsChild>
                    <w:div w:id="1378313395">
                      <w:marLeft w:val="0"/>
                      <w:marRight w:val="0"/>
                      <w:marTop w:val="0"/>
                      <w:marBottom w:val="0"/>
                      <w:divBdr>
                        <w:top w:val="none" w:sz="0" w:space="0" w:color="auto"/>
                        <w:left w:val="none" w:sz="0" w:space="0" w:color="auto"/>
                        <w:bottom w:val="none" w:sz="0" w:space="0" w:color="auto"/>
                        <w:right w:val="none" w:sz="0" w:space="0" w:color="auto"/>
                      </w:divBdr>
                      <w:divsChild>
                        <w:div w:id="974063625">
                          <w:marLeft w:val="0"/>
                          <w:marRight w:val="0"/>
                          <w:marTop w:val="0"/>
                          <w:marBottom w:val="0"/>
                          <w:divBdr>
                            <w:top w:val="none" w:sz="0" w:space="0" w:color="auto"/>
                            <w:left w:val="none" w:sz="0" w:space="0" w:color="auto"/>
                            <w:bottom w:val="none" w:sz="0" w:space="0" w:color="auto"/>
                            <w:right w:val="none" w:sz="0" w:space="0" w:color="auto"/>
                          </w:divBdr>
                          <w:divsChild>
                            <w:div w:id="545727111">
                              <w:marLeft w:val="0"/>
                              <w:marRight w:val="0"/>
                              <w:marTop w:val="0"/>
                              <w:marBottom w:val="0"/>
                              <w:divBdr>
                                <w:top w:val="none" w:sz="0" w:space="0" w:color="auto"/>
                                <w:left w:val="none" w:sz="0" w:space="0" w:color="auto"/>
                                <w:bottom w:val="none" w:sz="0" w:space="0" w:color="auto"/>
                                <w:right w:val="none" w:sz="0" w:space="0" w:color="auto"/>
                              </w:divBdr>
                              <w:divsChild>
                                <w:div w:id="1637956583">
                                  <w:marLeft w:val="0"/>
                                  <w:marRight w:val="0"/>
                                  <w:marTop w:val="0"/>
                                  <w:marBottom w:val="0"/>
                                  <w:divBdr>
                                    <w:top w:val="none" w:sz="0" w:space="0" w:color="auto"/>
                                    <w:left w:val="none" w:sz="0" w:space="0" w:color="auto"/>
                                    <w:bottom w:val="none" w:sz="0" w:space="0" w:color="auto"/>
                                    <w:right w:val="none" w:sz="0" w:space="0" w:color="auto"/>
                                  </w:divBdr>
                                  <w:divsChild>
                                    <w:div w:id="2021813602">
                                      <w:marLeft w:val="0"/>
                                      <w:marRight w:val="0"/>
                                      <w:marTop w:val="0"/>
                                      <w:marBottom w:val="0"/>
                                      <w:divBdr>
                                        <w:top w:val="none" w:sz="0" w:space="0" w:color="auto"/>
                                        <w:left w:val="none" w:sz="0" w:space="0" w:color="auto"/>
                                        <w:bottom w:val="none" w:sz="0" w:space="0" w:color="auto"/>
                                        <w:right w:val="none" w:sz="0" w:space="0" w:color="auto"/>
                                      </w:divBdr>
                                    </w:div>
                                    <w:div w:id="17117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632666">
      <w:bodyDiv w:val="1"/>
      <w:marLeft w:val="0"/>
      <w:marRight w:val="0"/>
      <w:marTop w:val="0"/>
      <w:marBottom w:val="0"/>
      <w:divBdr>
        <w:top w:val="none" w:sz="0" w:space="0" w:color="auto"/>
        <w:left w:val="none" w:sz="0" w:space="0" w:color="auto"/>
        <w:bottom w:val="none" w:sz="0" w:space="0" w:color="auto"/>
        <w:right w:val="none" w:sz="0" w:space="0" w:color="auto"/>
      </w:divBdr>
    </w:div>
    <w:div w:id="1452674058">
      <w:bodyDiv w:val="1"/>
      <w:marLeft w:val="0"/>
      <w:marRight w:val="0"/>
      <w:marTop w:val="0"/>
      <w:marBottom w:val="0"/>
      <w:divBdr>
        <w:top w:val="none" w:sz="0" w:space="0" w:color="auto"/>
        <w:left w:val="none" w:sz="0" w:space="0" w:color="auto"/>
        <w:bottom w:val="none" w:sz="0" w:space="0" w:color="auto"/>
        <w:right w:val="none" w:sz="0" w:space="0" w:color="auto"/>
      </w:divBdr>
      <w:divsChild>
        <w:div w:id="608051214">
          <w:marLeft w:val="0"/>
          <w:marRight w:val="0"/>
          <w:marTop w:val="0"/>
          <w:marBottom w:val="0"/>
          <w:divBdr>
            <w:top w:val="none" w:sz="0" w:space="0" w:color="auto"/>
            <w:left w:val="none" w:sz="0" w:space="0" w:color="auto"/>
            <w:bottom w:val="none" w:sz="0" w:space="0" w:color="auto"/>
            <w:right w:val="none" w:sz="0" w:space="0" w:color="auto"/>
          </w:divBdr>
          <w:divsChild>
            <w:div w:id="1178035101">
              <w:marLeft w:val="0"/>
              <w:marRight w:val="0"/>
              <w:marTop w:val="0"/>
              <w:marBottom w:val="0"/>
              <w:divBdr>
                <w:top w:val="none" w:sz="0" w:space="0" w:color="auto"/>
                <w:left w:val="none" w:sz="0" w:space="0" w:color="auto"/>
                <w:bottom w:val="none" w:sz="0" w:space="0" w:color="auto"/>
                <w:right w:val="none" w:sz="0" w:space="0" w:color="auto"/>
              </w:divBdr>
              <w:divsChild>
                <w:div w:id="755172631">
                  <w:marLeft w:val="0"/>
                  <w:marRight w:val="0"/>
                  <w:marTop w:val="0"/>
                  <w:marBottom w:val="0"/>
                  <w:divBdr>
                    <w:top w:val="none" w:sz="0" w:space="0" w:color="auto"/>
                    <w:left w:val="none" w:sz="0" w:space="0" w:color="auto"/>
                    <w:bottom w:val="none" w:sz="0" w:space="0" w:color="auto"/>
                    <w:right w:val="none" w:sz="0" w:space="0" w:color="auto"/>
                  </w:divBdr>
                  <w:divsChild>
                    <w:div w:id="446236990">
                      <w:marLeft w:val="2490"/>
                      <w:marRight w:val="0"/>
                      <w:marTop w:val="0"/>
                      <w:marBottom w:val="0"/>
                      <w:divBdr>
                        <w:top w:val="none" w:sz="0" w:space="0" w:color="auto"/>
                        <w:left w:val="none" w:sz="0" w:space="0" w:color="auto"/>
                        <w:bottom w:val="none" w:sz="0" w:space="0" w:color="auto"/>
                        <w:right w:val="none" w:sz="0" w:space="0" w:color="auto"/>
                      </w:divBdr>
                      <w:divsChild>
                        <w:div w:id="1044259329">
                          <w:marLeft w:val="30"/>
                          <w:marRight w:val="0"/>
                          <w:marTop w:val="0"/>
                          <w:marBottom w:val="0"/>
                          <w:divBdr>
                            <w:top w:val="none" w:sz="0" w:space="0" w:color="auto"/>
                            <w:left w:val="none" w:sz="0" w:space="0" w:color="auto"/>
                            <w:bottom w:val="none" w:sz="0" w:space="0" w:color="auto"/>
                            <w:right w:val="none" w:sz="0" w:space="0" w:color="auto"/>
                          </w:divBdr>
                          <w:divsChild>
                            <w:div w:id="77951015">
                              <w:marLeft w:val="0"/>
                              <w:marRight w:val="0"/>
                              <w:marTop w:val="0"/>
                              <w:marBottom w:val="0"/>
                              <w:divBdr>
                                <w:top w:val="none" w:sz="0" w:space="0" w:color="auto"/>
                                <w:left w:val="none" w:sz="0" w:space="0" w:color="auto"/>
                                <w:bottom w:val="none" w:sz="0" w:space="0" w:color="auto"/>
                                <w:right w:val="none" w:sz="0" w:space="0" w:color="auto"/>
                              </w:divBdr>
                              <w:divsChild>
                                <w:div w:id="621304662">
                                  <w:marLeft w:val="0"/>
                                  <w:marRight w:val="0"/>
                                  <w:marTop w:val="0"/>
                                  <w:marBottom w:val="0"/>
                                  <w:divBdr>
                                    <w:top w:val="none" w:sz="0" w:space="0" w:color="auto"/>
                                    <w:left w:val="none" w:sz="0" w:space="0" w:color="auto"/>
                                    <w:bottom w:val="none" w:sz="0" w:space="0" w:color="auto"/>
                                    <w:right w:val="none" w:sz="0" w:space="0" w:color="auto"/>
                                  </w:divBdr>
                                  <w:divsChild>
                                    <w:div w:id="1387680541">
                                      <w:marLeft w:val="0"/>
                                      <w:marRight w:val="0"/>
                                      <w:marTop w:val="225"/>
                                      <w:marBottom w:val="0"/>
                                      <w:divBdr>
                                        <w:top w:val="none" w:sz="0" w:space="0" w:color="auto"/>
                                        <w:left w:val="none" w:sz="0" w:space="0" w:color="auto"/>
                                        <w:bottom w:val="none" w:sz="0" w:space="0" w:color="auto"/>
                                        <w:right w:val="none" w:sz="0" w:space="0" w:color="auto"/>
                                      </w:divBdr>
                                      <w:divsChild>
                                        <w:div w:id="12266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610808">
      <w:bodyDiv w:val="1"/>
      <w:marLeft w:val="0"/>
      <w:marRight w:val="0"/>
      <w:marTop w:val="0"/>
      <w:marBottom w:val="0"/>
      <w:divBdr>
        <w:top w:val="none" w:sz="0" w:space="0" w:color="auto"/>
        <w:left w:val="none" w:sz="0" w:space="0" w:color="auto"/>
        <w:bottom w:val="none" w:sz="0" w:space="0" w:color="auto"/>
        <w:right w:val="none" w:sz="0" w:space="0" w:color="auto"/>
      </w:divBdr>
    </w:div>
    <w:div w:id="1553419523">
      <w:bodyDiv w:val="1"/>
      <w:marLeft w:val="0"/>
      <w:marRight w:val="0"/>
      <w:marTop w:val="0"/>
      <w:marBottom w:val="0"/>
      <w:divBdr>
        <w:top w:val="none" w:sz="0" w:space="0" w:color="auto"/>
        <w:left w:val="none" w:sz="0" w:space="0" w:color="auto"/>
        <w:bottom w:val="none" w:sz="0" w:space="0" w:color="auto"/>
        <w:right w:val="none" w:sz="0" w:space="0" w:color="auto"/>
      </w:divBdr>
      <w:divsChild>
        <w:div w:id="984773479">
          <w:marLeft w:val="0"/>
          <w:marRight w:val="0"/>
          <w:marTop w:val="0"/>
          <w:marBottom w:val="0"/>
          <w:divBdr>
            <w:top w:val="none" w:sz="0" w:space="0" w:color="auto"/>
            <w:left w:val="none" w:sz="0" w:space="0" w:color="auto"/>
            <w:bottom w:val="none" w:sz="0" w:space="0" w:color="auto"/>
            <w:right w:val="none" w:sz="0" w:space="0" w:color="auto"/>
          </w:divBdr>
          <w:divsChild>
            <w:div w:id="351735333">
              <w:marLeft w:val="0"/>
              <w:marRight w:val="0"/>
              <w:marTop w:val="0"/>
              <w:marBottom w:val="0"/>
              <w:divBdr>
                <w:top w:val="none" w:sz="0" w:space="0" w:color="auto"/>
                <w:left w:val="none" w:sz="0" w:space="0" w:color="auto"/>
                <w:bottom w:val="none" w:sz="0" w:space="0" w:color="auto"/>
                <w:right w:val="none" w:sz="0" w:space="0" w:color="auto"/>
              </w:divBdr>
              <w:divsChild>
                <w:div w:id="1683312596">
                  <w:marLeft w:val="0"/>
                  <w:marRight w:val="0"/>
                  <w:marTop w:val="0"/>
                  <w:marBottom w:val="0"/>
                  <w:divBdr>
                    <w:top w:val="none" w:sz="0" w:space="0" w:color="auto"/>
                    <w:left w:val="none" w:sz="0" w:space="0" w:color="auto"/>
                    <w:bottom w:val="none" w:sz="0" w:space="0" w:color="auto"/>
                    <w:right w:val="none" w:sz="0" w:space="0" w:color="auto"/>
                  </w:divBdr>
                  <w:divsChild>
                    <w:div w:id="1940749390">
                      <w:marLeft w:val="0"/>
                      <w:marRight w:val="0"/>
                      <w:marTop w:val="0"/>
                      <w:marBottom w:val="0"/>
                      <w:divBdr>
                        <w:top w:val="none" w:sz="0" w:space="0" w:color="auto"/>
                        <w:left w:val="none" w:sz="0" w:space="0" w:color="auto"/>
                        <w:bottom w:val="none" w:sz="0" w:space="0" w:color="auto"/>
                        <w:right w:val="none" w:sz="0" w:space="0" w:color="auto"/>
                      </w:divBdr>
                      <w:divsChild>
                        <w:div w:id="21445526">
                          <w:marLeft w:val="-225"/>
                          <w:marRight w:val="-225"/>
                          <w:marTop w:val="0"/>
                          <w:marBottom w:val="0"/>
                          <w:divBdr>
                            <w:top w:val="none" w:sz="0" w:space="0" w:color="auto"/>
                            <w:left w:val="none" w:sz="0" w:space="0" w:color="auto"/>
                            <w:bottom w:val="none" w:sz="0" w:space="0" w:color="auto"/>
                            <w:right w:val="none" w:sz="0" w:space="0" w:color="auto"/>
                          </w:divBdr>
                          <w:divsChild>
                            <w:div w:id="752315893">
                              <w:marLeft w:val="0"/>
                              <w:marRight w:val="0"/>
                              <w:marTop w:val="0"/>
                              <w:marBottom w:val="0"/>
                              <w:divBdr>
                                <w:top w:val="none" w:sz="0" w:space="0" w:color="auto"/>
                                <w:left w:val="none" w:sz="0" w:space="0" w:color="auto"/>
                                <w:bottom w:val="none" w:sz="0" w:space="0" w:color="auto"/>
                                <w:right w:val="none" w:sz="0" w:space="0" w:color="auto"/>
                              </w:divBdr>
                              <w:divsChild>
                                <w:div w:id="5161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968667">
      <w:bodyDiv w:val="1"/>
      <w:marLeft w:val="0"/>
      <w:marRight w:val="0"/>
      <w:marTop w:val="0"/>
      <w:marBottom w:val="0"/>
      <w:divBdr>
        <w:top w:val="none" w:sz="0" w:space="0" w:color="auto"/>
        <w:left w:val="none" w:sz="0" w:space="0" w:color="auto"/>
        <w:bottom w:val="none" w:sz="0" w:space="0" w:color="auto"/>
        <w:right w:val="none" w:sz="0" w:space="0" w:color="auto"/>
      </w:divBdr>
    </w:div>
    <w:div w:id="1605962935">
      <w:bodyDiv w:val="1"/>
      <w:marLeft w:val="0"/>
      <w:marRight w:val="0"/>
      <w:marTop w:val="0"/>
      <w:marBottom w:val="0"/>
      <w:divBdr>
        <w:top w:val="none" w:sz="0" w:space="0" w:color="auto"/>
        <w:left w:val="none" w:sz="0" w:space="0" w:color="auto"/>
        <w:bottom w:val="none" w:sz="0" w:space="0" w:color="auto"/>
        <w:right w:val="none" w:sz="0" w:space="0" w:color="auto"/>
      </w:divBdr>
    </w:div>
    <w:div w:id="1697972711">
      <w:bodyDiv w:val="1"/>
      <w:marLeft w:val="0"/>
      <w:marRight w:val="0"/>
      <w:marTop w:val="0"/>
      <w:marBottom w:val="0"/>
      <w:divBdr>
        <w:top w:val="none" w:sz="0" w:space="0" w:color="auto"/>
        <w:left w:val="none" w:sz="0" w:space="0" w:color="auto"/>
        <w:bottom w:val="none" w:sz="0" w:space="0" w:color="auto"/>
        <w:right w:val="none" w:sz="0" w:space="0" w:color="auto"/>
      </w:divBdr>
    </w:div>
    <w:div w:id="1775056513">
      <w:bodyDiv w:val="1"/>
      <w:marLeft w:val="0"/>
      <w:marRight w:val="0"/>
      <w:marTop w:val="0"/>
      <w:marBottom w:val="0"/>
      <w:divBdr>
        <w:top w:val="none" w:sz="0" w:space="0" w:color="auto"/>
        <w:left w:val="none" w:sz="0" w:space="0" w:color="auto"/>
        <w:bottom w:val="none" w:sz="0" w:space="0" w:color="auto"/>
        <w:right w:val="none" w:sz="0" w:space="0" w:color="auto"/>
      </w:divBdr>
    </w:div>
    <w:div w:id="1909000106">
      <w:bodyDiv w:val="1"/>
      <w:marLeft w:val="0"/>
      <w:marRight w:val="0"/>
      <w:marTop w:val="0"/>
      <w:marBottom w:val="0"/>
      <w:divBdr>
        <w:top w:val="none" w:sz="0" w:space="0" w:color="auto"/>
        <w:left w:val="none" w:sz="0" w:space="0" w:color="auto"/>
        <w:bottom w:val="none" w:sz="0" w:space="0" w:color="auto"/>
        <w:right w:val="none" w:sz="0" w:space="0" w:color="auto"/>
      </w:divBdr>
    </w:div>
    <w:div w:id="1923371360">
      <w:bodyDiv w:val="1"/>
      <w:marLeft w:val="0"/>
      <w:marRight w:val="0"/>
      <w:marTop w:val="0"/>
      <w:marBottom w:val="0"/>
      <w:divBdr>
        <w:top w:val="none" w:sz="0" w:space="0" w:color="auto"/>
        <w:left w:val="none" w:sz="0" w:space="0" w:color="auto"/>
        <w:bottom w:val="none" w:sz="0" w:space="0" w:color="auto"/>
        <w:right w:val="none" w:sz="0" w:space="0" w:color="auto"/>
      </w:divBdr>
      <w:divsChild>
        <w:div w:id="752047126">
          <w:marLeft w:val="0"/>
          <w:marRight w:val="0"/>
          <w:marTop w:val="0"/>
          <w:marBottom w:val="0"/>
          <w:divBdr>
            <w:top w:val="single" w:sz="2" w:space="0" w:color="2E2E2E"/>
            <w:left w:val="single" w:sz="2" w:space="0" w:color="2E2E2E"/>
            <w:bottom w:val="single" w:sz="2" w:space="0" w:color="2E2E2E"/>
            <w:right w:val="single" w:sz="2" w:space="0" w:color="2E2E2E"/>
          </w:divBdr>
          <w:divsChild>
            <w:div w:id="399449468">
              <w:marLeft w:val="0"/>
              <w:marRight w:val="0"/>
              <w:marTop w:val="0"/>
              <w:marBottom w:val="0"/>
              <w:divBdr>
                <w:top w:val="single" w:sz="6" w:space="0" w:color="C9C9C9"/>
                <w:left w:val="none" w:sz="0" w:space="0" w:color="auto"/>
                <w:bottom w:val="none" w:sz="0" w:space="0" w:color="auto"/>
                <w:right w:val="none" w:sz="0" w:space="0" w:color="auto"/>
              </w:divBdr>
              <w:divsChild>
                <w:div w:id="771167924">
                  <w:marLeft w:val="0"/>
                  <w:marRight w:val="0"/>
                  <w:marTop w:val="0"/>
                  <w:marBottom w:val="0"/>
                  <w:divBdr>
                    <w:top w:val="none" w:sz="0" w:space="0" w:color="auto"/>
                    <w:left w:val="none" w:sz="0" w:space="0" w:color="auto"/>
                    <w:bottom w:val="none" w:sz="0" w:space="0" w:color="auto"/>
                    <w:right w:val="none" w:sz="0" w:space="0" w:color="auto"/>
                  </w:divBdr>
                  <w:divsChild>
                    <w:div w:id="1553226222">
                      <w:marLeft w:val="0"/>
                      <w:marRight w:val="0"/>
                      <w:marTop w:val="0"/>
                      <w:marBottom w:val="0"/>
                      <w:divBdr>
                        <w:top w:val="none" w:sz="0" w:space="0" w:color="auto"/>
                        <w:left w:val="none" w:sz="0" w:space="0" w:color="auto"/>
                        <w:bottom w:val="none" w:sz="0" w:space="0" w:color="auto"/>
                        <w:right w:val="none" w:sz="0" w:space="0" w:color="auto"/>
                      </w:divBdr>
                      <w:divsChild>
                        <w:div w:id="1011225420">
                          <w:marLeft w:val="0"/>
                          <w:marRight w:val="0"/>
                          <w:marTop w:val="0"/>
                          <w:marBottom w:val="0"/>
                          <w:divBdr>
                            <w:top w:val="none" w:sz="0" w:space="0" w:color="auto"/>
                            <w:left w:val="none" w:sz="0" w:space="0" w:color="auto"/>
                            <w:bottom w:val="none" w:sz="0" w:space="0" w:color="auto"/>
                            <w:right w:val="none" w:sz="0" w:space="0" w:color="auto"/>
                          </w:divBdr>
                          <w:divsChild>
                            <w:div w:id="4739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29324">
      <w:bodyDiv w:val="1"/>
      <w:marLeft w:val="0"/>
      <w:marRight w:val="0"/>
      <w:marTop w:val="0"/>
      <w:marBottom w:val="0"/>
      <w:divBdr>
        <w:top w:val="none" w:sz="0" w:space="0" w:color="auto"/>
        <w:left w:val="none" w:sz="0" w:space="0" w:color="auto"/>
        <w:bottom w:val="none" w:sz="0" w:space="0" w:color="auto"/>
        <w:right w:val="none" w:sz="0" w:space="0" w:color="auto"/>
      </w:divBdr>
    </w:div>
    <w:div w:id="1992903174">
      <w:bodyDiv w:val="1"/>
      <w:marLeft w:val="0"/>
      <w:marRight w:val="0"/>
      <w:marTop w:val="0"/>
      <w:marBottom w:val="0"/>
      <w:divBdr>
        <w:top w:val="none" w:sz="0" w:space="0" w:color="auto"/>
        <w:left w:val="none" w:sz="0" w:space="0" w:color="auto"/>
        <w:bottom w:val="none" w:sz="0" w:space="0" w:color="auto"/>
        <w:right w:val="none" w:sz="0" w:space="0" w:color="auto"/>
      </w:divBdr>
      <w:divsChild>
        <w:div w:id="95835996">
          <w:marLeft w:val="0"/>
          <w:marRight w:val="0"/>
          <w:marTop w:val="0"/>
          <w:marBottom w:val="0"/>
          <w:divBdr>
            <w:top w:val="none" w:sz="0" w:space="0" w:color="auto"/>
            <w:left w:val="none" w:sz="0" w:space="0" w:color="auto"/>
            <w:bottom w:val="none" w:sz="0" w:space="0" w:color="auto"/>
            <w:right w:val="none" w:sz="0" w:space="0" w:color="auto"/>
          </w:divBdr>
          <w:divsChild>
            <w:div w:id="865407304">
              <w:marLeft w:val="0"/>
              <w:marRight w:val="0"/>
              <w:marTop w:val="0"/>
              <w:marBottom w:val="0"/>
              <w:divBdr>
                <w:top w:val="none" w:sz="0" w:space="0" w:color="auto"/>
                <w:left w:val="none" w:sz="0" w:space="0" w:color="auto"/>
                <w:bottom w:val="none" w:sz="0" w:space="0" w:color="auto"/>
                <w:right w:val="none" w:sz="0" w:space="0" w:color="auto"/>
              </w:divBdr>
              <w:divsChild>
                <w:div w:id="1096898941">
                  <w:marLeft w:val="0"/>
                  <w:marRight w:val="0"/>
                  <w:marTop w:val="0"/>
                  <w:marBottom w:val="0"/>
                  <w:divBdr>
                    <w:top w:val="none" w:sz="0" w:space="0" w:color="auto"/>
                    <w:left w:val="none" w:sz="0" w:space="0" w:color="auto"/>
                    <w:bottom w:val="none" w:sz="0" w:space="0" w:color="auto"/>
                    <w:right w:val="none" w:sz="0" w:space="0" w:color="auto"/>
                  </w:divBdr>
                  <w:divsChild>
                    <w:div w:id="1848405688">
                      <w:marLeft w:val="0"/>
                      <w:marRight w:val="0"/>
                      <w:marTop w:val="0"/>
                      <w:marBottom w:val="0"/>
                      <w:divBdr>
                        <w:top w:val="none" w:sz="0" w:space="0" w:color="auto"/>
                        <w:left w:val="none" w:sz="0" w:space="0" w:color="auto"/>
                        <w:bottom w:val="none" w:sz="0" w:space="0" w:color="auto"/>
                        <w:right w:val="none" w:sz="0" w:space="0" w:color="auto"/>
                      </w:divBdr>
                      <w:divsChild>
                        <w:div w:id="980157707">
                          <w:marLeft w:val="0"/>
                          <w:marRight w:val="0"/>
                          <w:marTop w:val="0"/>
                          <w:marBottom w:val="0"/>
                          <w:divBdr>
                            <w:top w:val="none" w:sz="0" w:space="0" w:color="auto"/>
                            <w:left w:val="none" w:sz="0" w:space="0" w:color="auto"/>
                            <w:bottom w:val="none" w:sz="0" w:space="0" w:color="auto"/>
                            <w:right w:val="none" w:sz="0" w:space="0" w:color="auto"/>
                          </w:divBdr>
                          <w:divsChild>
                            <w:div w:id="1456756233">
                              <w:marLeft w:val="0"/>
                              <w:marRight w:val="0"/>
                              <w:marTop w:val="0"/>
                              <w:marBottom w:val="0"/>
                              <w:divBdr>
                                <w:top w:val="none" w:sz="0" w:space="0" w:color="auto"/>
                                <w:left w:val="none" w:sz="0" w:space="0" w:color="auto"/>
                                <w:bottom w:val="none" w:sz="0" w:space="0" w:color="auto"/>
                                <w:right w:val="none" w:sz="0" w:space="0" w:color="auto"/>
                              </w:divBdr>
                              <w:divsChild>
                                <w:div w:id="1012686270">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33486721">
                                          <w:marLeft w:val="0"/>
                                          <w:marRight w:val="0"/>
                                          <w:marTop w:val="0"/>
                                          <w:marBottom w:val="0"/>
                                          <w:divBdr>
                                            <w:top w:val="none" w:sz="0" w:space="0" w:color="auto"/>
                                            <w:left w:val="none" w:sz="0" w:space="0" w:color="auto"/>
                                            <w:bottom w:val="none" w:sz="0" w:space="0" w:color="auto"/>
                                            <w:right w:val="none" w:sz="0" w:space="0" w:color="auto"/>
                                          </w:divBdr>
                                          <w:divsChild>
                                            <w:div w:id="2093158896">
                                              <w:marLeft w:val="0"/>
                                              <w:marRight w:val="0"/>
                                              <w:marTop w:val="0"/>
                                              <w:marBottom w:val="0"/>
                                              <w:divBdr>
                                                <w:top w:val="none" w:sz="0" w:space="0" w:color="auto"/>
                                                <w:left w:val="none" w:sz="0" w:space="0" w:color="auto"/>
                                                <w:bottom w:val="none" w:sz="0" w:space="0" w:color="auto"/>
                                                <w:right w:val="none" w:sz="0" w:space="0" w:color="auto"/>
                                              </w:divBdr>
                                              <w:divsChild>
                                                <w:div w:id="4569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8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mg.co.za/article/2015-10-22-the-urgent-need-for-proper-early-childhood-development-infrastructure" TargetMode="External"/><Relationship Id="rId1" Type="http://schemas.openxmlformats.org/officeDocument/2006/relationships/hyperlink" Target="http://mg.co.za/article/2015-10-22-the-urgent-need-for-proper-early-childhood-development-infrastructur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aviviers\AppData\Local\Microsoft\Windows\INetCache\Content.Outlook\D61NBTHY\2010-2015%20Grade%20R%20%20%20(0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b="1">
                <a:solidFill>
                  <a:sysClr val="windowText" lastClr="000000"/>
                </a:solidFill>
                <a:latin typeface="Arial" panose="020B0604020202020204" pitchFamily="34" charset="0"/>
                <a:cs typeface="Arial" panose="020B0604020202020204" pitchFamily="34" charset="0"/>
              </a:rPr>
              <a:t>Early</a:t>
            </a:r>
            <a:r>
              <a:rPr lang="en-US" sz="900" b="1" baseline="0">
                <a:solidFill>
                  <a:sysClr val="windowText" lastClr="000000"/>
                </a:solidFill>
                <a:latin typeface="Arial" panose="020B0604020202020204" pitchFamily="34" charset="0"/>
                <a:cs typeface="Arial" panose="020B0604020202020204" pitchFamily="34" charset="0"/>
              </a:rPr>
              <a:t> Childhood Development Trends </a:t>
            </a:r>
          </a:p>
          <a:p>
            <a:pPr>
              <a:defRPr sz="900" b="0" i="0" u="none" strike="noStrike" kern="1200" spc="0" baseline="0">
                <a:solidFill>
                  <a:schemeClr val="tx1">
                    <a:lumMod val="65000"/>
                    <a:lumOff val="35000"/>
                  </a:schemeClr>
                </a:solidFill>
                <a:latin typeface="+mn-lt"/>
                <a:ea typeface="+mn-ea"/>
                <a:cs typeface="+mn-cs"/>
              </a:defRPr>
            </a:pPr>
            <a:r>
              <a:rPr lang="en-US" sz="900" b="1" baseline="0">
                <a:solidFill>
                  <a:sysClr val="windowText" lastClr="000000"/>
                </a:solidFill>
                <a:latin typeface="Arial" panose="020B0604020202020204" pitchFamily="34" charset="0"/>
                <a:cs typeface="Arial" panose="020B0604020202020204" pitchFamily="34" charset="0"/>
              </a:rPr>
              <a:t>2009 to 2015</a:t>
            </a:r>
            <a:endParaRPr lang="en-US" sz="9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Sheet1!$B$1</c:f>
              <c:strCache>
                <c:ptCount val="1"/>
                <c:pt idx="0">
                  <c:v>ECD CENTRE</c:v>
                </c:pt>
              </c:strCache>
            </c:strRef>
          </c:tx>
          <c:spPr>
            <a:ln w="38100" cap="rnd">
              <a:solidFill>
                <a:schemeClr val="accent1"/>
              </a:solidFill>
              <a:round/>
            </a:ln>
            <a:effectLst/>
          </c:spPr>
          <c:marker>
            <c:symbol val="none"/>
          </c:marker>
          <c:dLbls>
            <c:dLbl>
              <c:idx val="0"/>
              <c:tx>
                <c:rich>
                  <a:bodyPr/>
                  <a:lstStyle/>
                  <a:p>
                    <a:fld id="{A2298B5C-80DA-4822-83E1-453A5E4F2123}" type="VALUE">
                      <a:rPr lang="en-US"/>
                      <a:pPr/>
                      <a:t>[VALUE]</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3.9948053368329003E-2"/>
                  <c:y val="-4.4335395575553098E-2"/>
                </c:manualLayout>
              </c:layout>
              <c:tx>
                <c:rich>
                  <a:bodyPr/>
                  <a:lstStyle/>
                  <a:p>
                    <a:fld id="{BF8C288A-1A37-4848-9284-05B658531639}" type="VALUE">
                      <a:rPr lang="en-US"/>
                      <a:pPr/>
                      <a:t>[VALUE]</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E7398B4F-8296-46E9-8B88-A5DF0C1B1487}" type="VALUE">
                      <a:rPr lang="en-US"/>
                      <a:pPr/>
                      <a:t>[VALUE]</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38523A50-E26A-4D95-BB27-42A49678403C}" type="VALUE">
                      <a:rPr lang="en-US"/>
                      <a:pPr/>
                      <a:t>[VALUE]</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576A3AE0-E119-4423-93AD-979CF49A84F0}" type="VALUE">
                      <a:rPr lang="en-US"/>
                      <a:pPr/>
                      <a:t>[VALUE]</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8EED79EA-4063-4536-85FE-C521E50444B3}" type="VALUE">
                      <a:rPr lang="en-US"/>
                      <a:pPr/>
                      <a:t>[VALUE]</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tx>
                <c:rich>
                  <a:bodyPr/>
                  <a:lstStyle/>
                  <a:p>
                    <a:fld id="{288B75DD-183D-4819-8C39-8C3751F04B56}" type="VALUE">
                      <a:rPr lang="en-US"/>
                      <a:pPr/>
                      <a:t>[VALUE]</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Sheet1!$A$2:$A$8</c:f>
              <c:numCache>
                <c:formatCode>General</c:formatCode>
                <c:ptCount val="7"/>
                <c:pt idx="0">
                  <c:v>2009</c:v>
                </c:pt>
                <c:pt idx="1">
                  <c:v>2010</c:v>
                </c:pt>
                <c:pt idx="2">
                  <c:v>2011</c:v>
                </c:pt>
                <c:pt idx="3">
                  <c:v>2012</c:v>
                </c:pt>
                <c:pt idx="4">
                  <c:v>2013</c:v>
                </c:pt>
                <c:pt idx="5">
                  <c:v>2014</c:v>
                </c:pt>
                <c:pt idx="6">
                  <c:v>2015</c:v>
                </c:pt>
              </c:numCache>
            </c:numRef>
          </c:cat>
          <c:val>
            <c:numRef>
              <c:f>Sheet1!$B$2:$B$8</c:f>
              <c:numCache>
                <c:formatCode>General</c:formatCode>
                <c:ptCount val="7"/>
                <c:pt idx="0">
                  <c:v>29.9</c:v>
                </c:pt>
                <c:pt idx="1">
                  <c:v>32.299999999999997</c:v>
                </c:pt>
                <c:pt idx="2">
                  <c:v>34.5</c:v>
                </c:pt>
                <c:pt idx="3">
                  <c:v>36.6</c:v>
                </c:pt>
                <c:pt idx="4">
                  <c:v>34.4</c:v>
                </c:pt>
                <c:pt idx="5">
                  <c:v>33.799999999999997</c:v>
                </c:pt>
                <c:pt idx="6">
                  <c:v>33</c:v>
                </c:pt>
              </c:numCache>
            </c:numRef>
          </c:val>
          <c:smooth val="0"/>
        </c:ser>
        <c:ser>
          <c:idx val="1"/>
          <c:order val="1"/>
          <c:tx>
            <c:strRef>
              <c:f>Sheet1!$C$1</c:f>
              <c:strCache>
                <c:ptCount val="1"/>
                <c:pt idx="0">
                  <c:v>CHILD MINDER</c:v>
                </c:pt>
              </c:strCache>
            </c:strRef>
          </c:tx>
          <c:spPr>
            <a:ln w="38100" cap="rnd">
              <a:solidFill>
                <a:schemeClr val="accent2"/>
              </a:solidFill>
              <a:round/>
            </a:ln>
            <a:effectLst/>
          </c:spPr>
          <c:marker>
            <c:symbol val="none"/>
          </c:marker>
          <c:dLbls>
            <c:dLbl>
              <c:idx val="4"/>
              <c:tx>
                <c:rich>
                  <a:bodyPr/>
                  <a:lstStyle/>
                  <a:p>
                    <a:fld id="{2B3B7F48-BEF5-4947-8654-8CEF502693FC}" type="VALUE">
                      <a:rPr lang="en-US"/>
                      <a:pPr/>
                      <a:t>[VALUE]</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3F5FE8D6-635D-4F4C-9A24-09D32681EC2E}" type="VALUE">
                      <a:rPr lang="en-US"/>
                      <a:pPr/>
                      <a:t>[VALUE]</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tx>
                <c:rich>
                  <a:bodyPr/>
                  <a:lstStyle/>
                  <a:p>
                    <a:fld id="{0E849A90-6C71-4A90-B6AB-78872960918F}" type="VALUE">
                      <a:rPr lang="en-US"/>
                      <a:pPr/>
                      <a:t>[VALUE]</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2009</c:v>
                </c:pt>
                <c:pt idx="1">
                  <c:v>2010</c:v>
                </c:pt>
                <c:pt idx="2">
                  <c:v>2011</c:v>
                </c:pt>
                <c:pt idx="3">
                  <c:v>2012</c:v>
                </c:pt>
                <c:pt idx="4">
                  <c:v>2013</c:v>
                </c:pt>
                <c:pt idx="5">
                  <c:v>2014</c:v>
                </c:pt>
                <c:pt idx="6">
                  <c:v>2015</c:v>
                </c:pt>
              </c:numCache>
            </c:numRef>
          </c:cat>
          <c:val>
            <c:numRef>
              <c:f>Sheet1!$C$2:$C$8</c:f>
              <c:numCache>
                <c:formatCode>General</c:formatCode>
                <c:ptCount val="7"/>
                <c:pt idx="4">
                  <c:v>11.9</c:v>
                </c:pt>
                <c:pt idx="5">
                  <c:v>16</c:v>
                </c:pt>
                <c:pt idx="6">
                  <c:v>14.1</c:v>
                </c:pt>
              </c:numCache>
            </c:numRef>
          </c:val>
          <c:smooth val="0"/>
        </c:ser>
        <c:dLbls>
          <c:dLblPos val="t"/>
          <c:showLegendKey val="0"/>
          <c:showVal val="1"/>
          <c:showCatName val="0"/>
          <c:showSerName val="0"/>
          <c:showPercent val="0"/>
          <c:showBubbleSize val="0"/>
        </c:dLbls>
        <c:smooth val="0"/>
        <c:axId val="345673584"/>
        <c:axId val="345676720"/>
      </c:lineChart>
      <c:catAx>
        <c:axId val="3456735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45676720"/>
        <c:crosses val="autoZero"/>
        <c:auto val="1"/>
        <c:lblAlgn val="ctr"/>
        <c:lblOffset val="100"/>
        <c:noMultiLvlLbl val="0"/>
      </c:catAx>
      <c:valAx>
        <c:axId val="345676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800" b="0">
                    <a:solidFill>
                      <a:sysClr val="windowText" lastClr="000000"/>
                    </a:solidFill>
                    <a:latin typeface="Arial" panose="020B0604020202020204" pitchFamily="34" charset="0"/>
                    <a:cs typeface="Arial" panose="020B0604020202020204" pitchFamily="34" charset="0"/>
                  </a:rPr>
                  <a:t>%</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4567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Arial"/>
                <a:ea typeface="+mn-ea"/>
                <a:cs typeface="Arial"/>
              </a:defRPr>
            </a:pPr>
            <a:r>
              <a:rPr lang="en-US" sz="1050" b="1">
                <a:latin typeface="Arial"/>
                <a:cs typeface="Arial"/>
              </a:rPr>
              <a:t>Trends</a:t>
            </a:r>
            <a:r>
              <a:rPr lang="en-US" sz="1050" b="1" baseline="0">
                <a:latin typeface="Arial"/>
                <a:cs typeface="Arial"/>
              </a:rPr>
              <a:t> in Grade R: 2010 to 2015</a:t>
            </a:r>
            <a:endParaRPr lang="en-US" sz="1050" b="1">
              <a:latin typeface="Arial"/>
              <a:cs typeface="Arial"/>
            </a:endParaRPr>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Arial"/>
              <a:ea typeface="+mn-ea"/>
              <a:cs typeface="Arial"/>
            </a:defRPr>
          </a:pPr>
          <a:endParaRPr lang="en-US"/>
        </a:p>
      </c:txPr>
    </c:title>
    <c:autoTitleDeleted val="0"/>
    <c:plotArea>
      <c:layout/>
      <c:barChart>
        <c:barDir val="col"/>
        <c:grouping val="clustered"/>
        <c:varyColors val="0"/>
        <c:ser>
          <c:idx val="0"/>
          <c:order val="0"/>
          <c:tx>
            <c:strRef>
              <c:f>'[2010-2015 Grade R   (002).xlsx]Sheet2'!$I$8</c:f>
              <c:strCache>
                <c:ptCount val="1"/>
                <c:pt idx="0">
                  <c:v>Grade R in Schools</c:v>
                </c:pt>
              </c:strCache>
            </c:strRef>
          </c:tx>
          <c:spPr>
            <a:solidFill>
              <a:schemeClr val="accent1"/>
            </a:solidFill>
            <a:ln>
              <a:noFill/>
            </a:ln>
            <a:effectLst/>
          </c:spPr>
          <c:invertIfNegative val="0"/>
          <c:cat>
            <c:numRef>
              <c:f>'[2010-2015 Grade R   (002).xlsx]Sheet2'!$J$7:$O$7</c:f>
              <c:numCache>
                <c:formatCode>General</c:formatCode>
                <c:ptCount val="6"/>
                <c:pt idx="0">
                  <c:v>2010</c:v>
                </c:pt>
                <c:pt idx="1">
                  <c:v>2011</c:v>
                </c:pt>
                <c:pt idx="2">
                  <c:v>2012</c:v>
                </c:pt>
                <c:pt idx="3">
                  <c:v>2013</c:v>
                </c:pt>
                <c:pt idx="4">
                  <c:v>2014</c:v>
                </c:pt>
                <c:pt idx="5">
                  <c:v>2015</c:v>
                </c:pt>
              </c:numCache>
            </c:numRef>
          </c:cat>
          <c:val>
            <c:numRef>
              <c:f>'[2010-2015 Grade R   (002).xlsx]Sheet2'!$J$8:$O$8</c:f>
              <c:numCache>
                <c:formatCode>##,###,###</c:formatCode>
                <c:ptCount val="6"/>
                <c:pt idx="0">
                  <c:v>707203</c:v>
                </c:pt>
                <c:pt idx="1">
                  <c:v>734654</c:v>
                </c:pt>
                <c:pt idx="2">
                  <c:v>767865</c:v>
                </c:pt>
                <c:pt idx="3">
                  <c:v>779370</c:v>
                </c:pt>
                <c:pt idx="4">
                  <c:v>813044</c:v>
                </c:pt>
                <c:pt idx="5">
                  <c:v>792325</c:v>
                </c:pt>
              </c:numCache>
            </c:numRef>
          </c:val>
        </c:ser>
        <c:ser>
          <c:idx val="1"/>
          <c:order val="1"/>
          <c:tx>
            <c:strRef>
              <c:f>'[2010-2015 Grade R   (002).xlsx]Sheet2'!$I$9</c:f>
              <c:strCache>
                <c:ptCount val="1"/>
                <c:pt idx="0">
                  <c:v>Grade R in ECD centres</c:v>
                </c:pt>
              </c:strCache>
            </c:strRef>
          </c:tx>
          <c:spPr>
            <a:solidFill>
              <a:schemeClr val="accent2"/>
            </a:solidFill>
            <a:ln>
              <a:noFill/>
            </a:ln>
            <a:effectLst/>
          </c:spPr>
          <c:invertIfNegative val="0"/>
          <c:cat>
            <c:numRef>
              <c:f>'[2010-2015 Grade R   (002).xlsx]Sheet2'!$J$7:$O$7</c:f>
              <c:numCache>
                <c:formatCode>General</c:formatCode>
                <c:ptCount val="6"/>
                <c:pt idx="0">
                  <c:v>2010</c:v>
                </c:pt>
                <c:pt idx="1">
                  <c:v>2011</c:v>
                </c:pt>
                <c:pt idx="2">
                  <c:v>2012</c:v>
                </c:pt>
                <c:pt idx="3">
                  <c:v>2013</c:v>
                </c:pt>
                <c:pt idx="4">
                  <c:v>2014</c:v>
                </c:pt>
                <c:pt idx="5">
                  <c:v>2015</c:v>
                </c:pt>
              </c:numCache>
            </c:numRef>
          </c:cat>
          <c:val>
            <c:numRef>
              <c:f>'[2010-2015 Grade R   (002).xlsx]Sheet2'!$J$9:$O$9</c:f>
              <c:numCache>
                <c:formatCode>##,###,###</c:formatCode>
                <c:ptCount val="6"/>
                <c:pt idx="0">
                  <c:v>85725</c:v>
                </c:pt>
                <c:pt idx="1">
                  <c:v>69015</c:v>
                </c:pt>
                <c:pt idx="2">
                  <c:v>73549</c:v>
                </c:pt>
                <c:pt idx="3">
                  <c:v>68177</c:v>
                </c:pt>
                <c:pt idx="4">
                  <c:v>65970</c:v>
                </c:pt>
                <c:pt idx="5">
                  <c:v>0</c:v>
                </c:pt>
              </c:numCache>
            </c:numRef>
          </c:val>
        </c:ser>
        <c:ser>
          <c:idx val="2"/>
          <c:order val="2"/>
          <c:tx>
            <c:strRef>
              <c:f>'[2010-2015 Grade R   (002).xlsx]Sheet2'!$I$10</c:f>
              <c:strCache>
                <c:ptCount val="1"/>
                <c:pt idx="0">
                  <c:v>Total</c:v>
                </c:pt>
              </c:strCache>
            </c:strRef>
          </c:tx>
          <c:spPr>
            <a:solidFill>
              <a:schemeClr val="accent3"/>
            </a:solidFill>
            <a:ln>
              <a:noFill/>
            </a:ln>
            <a:effectLst/>
          </c:spPr>
          <c:invertIfNegative val="0"/>
          <c:cat>
            <c:numRef>
              <c:f>'[2010-2015 Grade R   (002).xlsx]Sheet2'!$J$7:$O$7</c:f>
              <c:numCache>
                <c:formatCode>General</c:formatCode>
                <c:ptCount val="6"/>
                <c:pt idx="0">
                  <c:v>2010</c:v>
                </c:pt>
                <c:pt idx="1">
                  <c:v>2011</c:v>
                </c:pt>
                <c:pt idx="2">
                  <c:v>2012</c:v>
                </c:pt>
                <c:pt idx="3">
                  <c:v>2013</c:v>
                </c:pt>
                <c:pt idx="4">
                  <c:v>2014</c:v>
                </c:pt>
                <c:pt idx="5">
                  <c:v>2015</c:v>
                </c:pt>
              </c:numCache>
            </c:numRef>
          </c:cat>
          <c:val>
            <c:numRef>
              <c:f>'[2010-2015 Grade R   (002).xlsx]Sheet2'!$J$10:$O$10</c:f>
              <c:numCache>
                <c:formatCode>##,###,###</c:formatCode>
                <c:ptCount val="6"/>
                <c:pt idx="0">
                  <c:v>792928</c:v>
                </c:pt>
                <c:pt idx="1">
                  <c:v>803669</c:v>
                </c:pt>
                <c:pt idx="2">
                  <c:v>841414</c:v>
                </c:pt>
                <c:pt idx="3">
                  <c:v>847547</c:v>
                </c:pt>
                <c:pt idx="4">
                  <c:v>879014</c:v>
                </c:pt>
                <c:pt idx="5">
                  <c:v>0</c:v>
                </c:pt>
              </c:numCache>
            </c:numRef>
          </c:val>
        </c:ser>
        <c:dLbls>
          <c:showLegendKey val="0"/>
          <c:showVal val="0"/>
          <c:showCatName val="0"/>
          <c:showSerName val="0"/>
          <c:showPercent val="0"/>
          <c:showBubbleSize val="0"/>
        </c:dLbls>
        <c:gapWidth val="219"/>
        <c:overlap val="-27"/>
        <c:axId val="345672016"/>
        <c:axId val="345673976"/>
      </c:barChart>
      <c:catAx>
        <c:axId val="34567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673976"/>
        <c:crosses val="autoZero"/>
        <c:auto val="1"/>
        <c:lblAlgn val="ctr"/>
        <c:lblOffset val="100"/>
        <c:noMultiLvlLbl val="0"/>
      </c:catAx>
      <c:valAx>
        <c:axId val="345673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latin typeface="Arial" panose="020B0604020202020204" pitchFamily="34" charset="0"/>
                    <a:cs typeface="Arial" panose="020B0604020202020204" pitchFamily="34" charset="0"/>
                  </a:rPr>
                  <a:t>Number</a:t>
                </a:r>
              </a:p>
            </c:rich>
          </c:tx>
          <c:layout>
            <c:manualLayout>
              <c:xMode val="edge"/>
              <c:yMode val="edge"/>
              <c:x val="0.13507809202195001"/>
              <c:y val="0.20586876908859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456720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Default Theme">
  <a:themeElements>
    <a:clrScheme name="UNICEF Standard">
      <a:dk1>
        <a:srgbClr val="000000"/>
      </a:dk1>
      <a:lt1>
        <a:srgbClr val="FFFFFF"/>
      </a:lt1>
      <a:dk2>
        <a:srgbClr val="808080"/>
      </a:dk2>
      <a:lt2>
        <a:srgbClr val="EEECE1"/>
      </a:lt2>
      <a:accent1>
        <a:srgbClr val="009BFD"/>
      </a:accent1>
      <a:accent2>
        <a:srgbClr val="FF0099"/>
      </a:accent2>
      <a:accent3>
        <a:srgbClr val="FFFF00"/>
      </a:accent3>
      <a:accent4>
        <a:srgbClr val="333399"/>
      </a:accent4>
      <a:accent5>
        <a:srgbClr val="DE2414"/>
      </a:accent5>
      <a:accent6>
        <a:srgbClr val="F7941D"/>
      </a:accent6>
      <a:hlink>
        <a:srgbClr val="009740"/>
      </a:hlink>
      <a:folHlink>
        <a:srgbClr val="8DC63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40EF52F885B469F5329A1714BBBAC" ma:contentTypeVersion="1" ma:contentTypeDescription="Create a new document." ma:contentTypeScope="" ma:versionID="58c5d517ab8bee78d3eb70e55b84ba93">
  <xsd:schema xmlns:xsd="http://www.w3.org/2001/XMLSchema" xmlns:xs="http://www.w3.org/2001/XMLSchema" xmlns:p="http://schemas.microsoft.com/office/2006/metadata/properties" xmlns:ns3="eeed90e5-a269-4a44-8560-2c4c1034a1c3" targetNamespace="http://schemas.microsoft.com/office/2006/metadata/properties" ma:root="true" ma:fieldsID="629958bec2d345b87912252a8619a6ba" ns3:_="">
    <xsd:import namespace="eeed90e5-a269-4a44-8560-2c4c1034a1c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d90e5-a269-4a44-8560-2c4c1034a1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17447-61DB-4C43-A568-3E043EBDA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d90e5-a269-4a44-8560-2c4c1034a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921C1-8BA3-4913-B8E1-9DE11FFF50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B7F5FF-8616-4FBF-817C-935A2797DA5E}">
  <ds:schemaRefs>
    <ds:schemaRef ds:uri="http://schemas.microsoft.com/sharepoint/v3/contenttype/forms"/>
  </ds:schemaRefs>
</ds:datastoreItem>
</file>

<file path=customXml/itemProps4.xml><?xml version="1.0" encoding="utf-8"?>
<ds:datastoreItem xmlns:ds="http://schemas.openxmlformats.org/officeDocument/2006/customXml" ds:itemID="{3C9E73D8-7BA1-4BC2-85F3-9F901CB0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5589</Words>
  <Characters>31860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Wycliffe Otieno</cp:lastModifiedBy>
  <cp:revision>10</cp:revision>
  <cp:lastPrinted>2016-07-06T09:37:00Z</cp:lastPrinted>
  <dcterms:created xsi:type="dcterms:W3CDTF">2016-11-19T13:05:00Z</dcterms:created>
  <dcterms:modified xsi:type="dcterms:W3CDTF">2016-11-19T14:15:00Z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0x01010016C40EF52F885B469F5329A1714BBBAC</vt:lpwstr>
  </property>
</Properties>
</file>