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43A1" w14:textId="003E1CF3" w:rsidR="00CD0BA6" w:rsidRPr="00C102C5" w:rsidRDefault="0013568F" w:rsidP="00CD0BA6">
      <w:pPr>
        <w:jc w:val="center"/>
        <w:rPr>
          <w:rFonts w:ascii="Times New Roman" w:hAnsi="Times New Roman" w:cs="Times New Roman"/>
          <w:b/>
          <w:bCs/>
          <w:sz w:val="25"/>
          <w:szCs w:val="25"/>
          <w:lang w:eastAsia="ja-JP"/>
        </w:rPr>
      </w:pPr>
      <w:r w:rsidRPr="00C102C5">
        <w:rPr>
          <w:rFonts w:ascii="Times New Roman" w:hAnsi="Times New Roman" w:cs="Times New Roman"/>
          <w:b/>
          <w:bCs/>
          <w:sz w:val="25"/>
          <w:szCs w:val="25"/>
          <w:lang w:eastAsia="ja-JP"/>
        </w:rPr>
        <w:t>SHORT PAPER GUIDELINES</w:t>
      </w:r>
    </w:p>
    <w:p w14:paraId="26B2C520" w14:textId="33411C04" w:rsidR="00CD0BA6" w:rsidRPr="00C102C5" w:rsidRDefault="00CD0BA6" w:rsidP="00CD0BA6">
      <w:pPr>
        <w:jc w:val="center"/>
        <w:rPr>
          <w:rFonts w:ascii="Times New Roman" w:hAnsi="Times New Roman" w:cs="Times New Roman"/>
          <w:b/>
          <w:bCs/>
          <w:sz w:val="25"/>
          <w:szCs w:val="25"/>
          <w:lang w:eastAsia="ja-JP"/>
        </w:rPr>
      </w:pPr>
    </w:p>
    <w:p w14:paraId="63DC928D" w14:textId="32AFCBDD" w:rsidR="00CD0BA6" w:rsidRPr="00C102C5" w:rsidRDefault="00CD0BA6" w:rsidP="00CD0BA6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  <w:r w:rsidRPr="00C102C5">
        <w:rPr>
          <w:rFonts w:ascii="Times New Roman" w:hAnsi="Times New Roman" w:cs="Times New Roman"/>
          <w:b/>
          <w:bCs/>
          <w:sz w:val="25"/>
          <w:szCs w:val="25"/>
          <w:lang w:eastAsia="ja-JP"/>
        </w:rPr>
        <w:t xml:space="preserve">Due: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July 14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, </w:t>
      </w:r>
      <w:r w:rsidRPr="00C102C5">
        <w:rPr>
          <w:rFonts w:ascii="Times New Roman" w:hAnsi="Times New Roman" w:cs="Times New Roman"/>
          <w:bCs/>
          <w:sz w:val="25"/>
          <w:szCs w:val="25"/>
          <w:u w:val="single"/>
          <w:lang w:eastAsia="ja-JP"/>
        </w:rPr>
        <w:t>noon sharp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.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Send by email to Greg. 1/3 of a letter grade will be deduced for each 24 hours of tardiness. </w:t>
      </w:r>
    </w:p>
    <w:p w14:paraId="3F639E94" w14:textId="77777777" w:rsidR="00CD0BA6" w:rsidRPr="00C102C5" w:rsidRDefault="00CD0BA6" w:rsidP="00515BEE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</w:p>
    <w:p w14:paraId="61F5EBF9" w14:textId="20C382C8" w:rsidR="00BC3F98" w:rsidRPr="00C102C5" w:rsidRDefault="00CD0BA6" w:rsidP="003457A0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For this</w:t>
      </w:r>
      <w:r w:rsidR="00515BEE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</w:t>
      </w:r>
      <w:r w:rsidR="0013568F" w:rsidRPr="00C102C5">
        <w:rPr>
          <w:rFonts w:ascii="Times New Roman" w:hAnsi="Times New Roman" w:cs="Times New Roman"/>
          <w:b/>
          <w:bCs/>
          <w:sz w:val="25"/>
          <w:szCs w:val="25"/>
          <w:lang w:eastAsia="ja-JP"/>
        </w:rPr>
        <w:t>short</w:t>
      </w:r>
      <w:r w:rsidR="00515BEE" w:rsidRPr="00C102C5">
        <w:rPr>
          <w:rFonts w:ascii="Times New Roman" w:hAnsi="Times New Roman" w:cs="Times New Roman"/>
          <w:b/>
          <w:bCs/>
          <w:sz w:val="25"/>
          <w:szCs w:val="25"/>
          <w:lang w:eastAsia="ja-JP"/>
        </w:rPr>
        <w:t xml:space="preserve"> paper </w:t>
      </w:r>
      <w:r w:rsidR="00515BEE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(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5-6</w:t>
      </w:r>
      <w:r w:rsidR="00515BEE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pages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, double-spaced</w:t>
      </w:r>
      <w:r w:rsidR="00515BEE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), 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you will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conduct a comparison of two sets of readings from two separate weeks (e.g. Weeks 1 and 4, or Weeks 2 and 3). One week consists of two classes’ worth of readings (e.g. Week 1 = Classes 1 and 2). </w:t>
      </w:r>
    </w:p>
    <w:p w14:paraId="1ECA1715" w14:textId="396A94E1" w:rsidR="00BC3F98" w:rsidRPr="00C102C5" w:rsidRDefault="00BC3F98" w:rsidP="003457A0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</w:p>
    <w:p w14:paraId="5D10F371" w14:textId="1C68ADD2" w:rsidR="00515BEE" w:rsidRPr="00C102C5" w:rsidRDefault="003457A0" w:rsidP="003457A0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We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will evaluate the paper based on three criteria: (a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)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Set-Up, or how you selected the </w:t>
      </w:r>
      <w:r w:rsidR="0013568F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readings and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comparison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; (b)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Engagement, or 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how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well you understood and used the material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; and (c)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Execution, or how well-written it</w:t>
      </w:r>
      <w:r w:rsidR="0013568F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is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. An A-range paper will be solid on all three fronts; a B-range paper will have 2/3 done well; a C-range paper will have 1/3 criteria met; and if you have significant problems in all three domains, it will be &lt;</w:t>
      </w:r>
      <w:r w:rsidR="0013568F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</w:t>
      </w:r>
      <w:r w:rsidR="00BC3F98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D+.</w:t>
      </w:r>
      <w:r w:rsidR="0039639D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</w:t>
      </w:r>
    </w:p>
    <w:p w14:paraId="076E8650" w14:textId="36236E46" w:rsidR="0039639D" w:rsidRPr="00C102C5" w:rsidRDefault="0039639D" w:rsidP="003457A0">
      <w:pPr>
        <w:rPr>
          <w:rFonts w:ascii="Times New Roman" w:hAnsi="Times New Roman" w:cs="Times New Roman"/>
          <w:bCs/>
          <w:sz w:val="25"/>
          <w:szCs w:val="25"/>
          <w:lang w:eastAsia="ja-JP"/>
        </w:rPr>
      </w:pPr>
    </w:p>
    <w:p w14:paraId="251E8644" w14:textId="63146FDC" w:rsidR="0039639D" w:rsidRPr="00C102C5" w:rsidRDefault="0039639D" w:rsidP="0039639D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Please note you are not expected to deliver your political/moral/personal evaluations of any of the readings (there will be </w:t>
      </w:r>
      <w:r w:rsidR="0013568F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time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for that in the Final Paper!). We will grade on logic, coherence, delivery</w:t>
      </w:r>
      <w:r w:rsidR="0013568F"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>,</w:t>
      </w:r>
      <w:r w:rsidRPr="00C102C5">
        <w:rPr>
          <w:rFonts w:ascii="Times New Roman" w:hAnsi="Times New Roman" w:cs="Times New Roman"/>
          <w:bCs/>
          <w:sz w:val="25"/>
          <w:szCs w:val="25"/>
          <w:lang w:eastAsia="ja-JP"/>
        </w:rPr>
        <w:t xml:space="preserve"> and fairness of interpretation – not your politics or values. Auto-biographical and personal reflections should be avoided: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no “sociology of me.” Use reasoning and evidence from the </w:t>
      </w:r>
      <w:r w:rsidR="0013568F" w:rsidRPr="00C102C5">
        <w:rPr>
          <w:rFonts w:ascii="Times New Roman" w:hAnsi="Times New Roman" w:cs="Times New Roman"/>
          <w:color w:val="000000"/>
          <w:sz w:val="25"/>
          <w:szCs w:val="25"/>
        </w:rPr>
        <w:t>texts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to </w:t>
      </w:r>
      <w:r w:rsidR="0013568F" w:rsidRPr="00C102C5">
        <w:rPr>
          <w:rFonts w:ascii="Times New Roman" w:hAnsi="Times New Roman" w:cs="Times New Roman"/>
          <w:color w:val="000000"/>
          <w:sz w:val="25"/>
          <w:szCs w:val="25"/>
        </w:rPr>
        <w:t>support your summaries.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F5E94" w14:textId="16CEEF39" w:rsidR="0039639D" w:rsidRPr="00C102C5" w:rsidRDefault="0039639D">
      <w:pPr>
        <w:rPr>
          <w:rFonts w:ascii="Times New Roman" w:hAnsi="Times New Roman" w:cs="Times New Roman"/>
          <w:sz w:val="25"/>
          <w:szCs w:val="25"/>
        </w:rPr>
      </w:pPr>
    </w:p>
    <w:p w14:paraId="27987F0C" w14:textId="29C08D42" w:rsidR="008158CD" w:rsidRPr="00C102C5" w:rsidRDefault="00FC116F" w:rsidP="00A817B5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sz w:val="25"/>
          <w:szCs w:val="25"/>
        </w:rPr>
        <w:t>A</w:t>
      </w:r>
      <w:r w:rsidR="00C214CC" w:rsidRPr="00C102C5">
        <w:rPr>
          <w:rFonts w:ascii="Times New Roman" w:hAnsi="Times New Roman" w:cs="Times New Roman"/>
          <w:sz w:val="25"/>
          <w:szCs w:val="25"/>
        </w:rPr>
        <w:t xml:space="preserve">. </w:t>
      </w:r>
      <w:r w:rsidR="00BC3F98" w:rsidRPr="00C102C5">
        <w:rPr>
          <w:rFonts w:ascii="Times New Roman" w:hAnsi="Times New Roman" w:cs="Times New Roman"/>
          <w:b/>
          <w:sz w:val="25"/>
          <w:szCs w:val="25"/>
        </w:rPr>
        <w:t>Set-Up</w:t>
      </w:r>
      <w:r w:rsidR="00942055" w:rsidRPr="00C102C5">
        <w:rPr>
          <w:rFonts w:ascii="Times New Roman" w:hAnsi="Times New Roman" w:cs="Times New Roman"/>
          <w:sz w:val="25"/>
          <w:szCs w:val="25"/>
        </w:rPr>
        <w:t xml:space="preserve">: The paper should be organized around </w:t>
      </w:r>
      <w:r w:rsidR="00BC3F98" w:rsidRPr="00C102C5">
        <w:rPr>
          <w:rFonts w:ascii="Times New Roman" w:hAnsi="Times New Roman" w:cs="Times New Roman"/>
          <w:sz w:val="25"/>
          <w:szCs w:val="25"/>
        </w:rPr>
        <w:t xml:space="preserve">some kind of comparison of the two separate weeks’ readings. The </w:t>
      </w:r>
      <w:r w:rsidR="00BC3F98" w:rsidRPr="00C102C5">
        <w:rPr>
          <w:rFonts w:ascii="Times New Roman" w:hAnsi="Times New Roman" w:cs="Times New Roman"/>
          <w:sz w:val="25"/>
          <w:szCs w:val="25"/>
          <w:u w:val="single"/>
        </w:rPr>
        <w:t>dimension of comparison is up to you</w:t>
      </w:r>
      <w:r w:rsidR="00BC3F98" w:rsidRPr="00C102C5">
        <w:rPr>
          <w:rFonts w:ascii="Times New Roman" w:hAnsi="Times New Roman" w:cs="Times New Roman"/>
          <w:sz w:val="25"/>
          <w:szCs w:val="25"/>
        </w:rPr>
        <w:t>,</w:t>
      </w:r>
      <w:r w:rsidR="008158CD" w:rsidRPr="00C102C5">
        <w:rPr>
          <w:rFonts w:ascii="Times New Roman" w:hAnsi="Times New Roman" w:cs="Times New Roman"/>
          <w:sz w:val="25"/>
          <w:szCs w:val="25"/>
        </w:rPr>
        <w:t xml:space="preserve"> but it should be clearly stated and appropriate to the readings and weeks you’ve selected.</w:t>
      </w:r>
      <w:r w:rsidR="00BC3F98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For example, you might want to compare 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abstract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 xml:space="preserve">theoretical 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arguments to 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concrete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 xml:space="preserve">empirical 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arguments. Or, you could compare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>macro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-sociological approaches (which focus on collectivities) with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>micro-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sociological approaches (which focus on the individual). </w:t>
      </w:r>
      <w:r w:rsidR="00083F93" w:rsidRPr="00C102C5">
        <w:rPr>
          <w:rFonts w:ascii="Times New Roman" w:hAnsi="Times New Roman" w:cs="Times New Roman"/>
          <w:sz w:val="25"/>
          <w:szCs w:val="25"/>
        </w:rPr>
        <w:t>Y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ou might compare </w:t>
      </w:r>
      <w:r w:rsidR="00EA7D3E" w:rsidRPr="00C102C5">
        <w:rPr>
          <w:rFonts w:ascii="Times New Roman" w:hAnsi="Times New Roman" w:cs="Times New Roman"/>
          <w:i/>
          <w:sz w:val="25"/>
          <w:szCs w:val="25"/>
        </w:rPr>
        <w:t>c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 xml:space="preserve">onflict-theory 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themes in the readings with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>Durkheimian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themes. Alternatively, you might want to compare</w:t>
      </w:r>
      <w:r w:rsidR="008158CD" w:rsidRPr="00C102C5">
        <w:rPr>
          <w:rFonts w:ascii="Times New Roman" w:hAnsi="Times New Roman" w:cs="Times New Roman"/>
          <w:sz w:val="25"/>
          <w:szCs w:val="25"/>
        </w:rPr>
        <w:t xml:space="preserve"> thinkers who give causal primacy to </w:t>
      </w:r>
      <w:r w:rsidR="00EA7D3E" w:rsidRPr="00C102C5">
        <w:rPr>
          <w:rFonts w:ascii="Times New Roman" w:hAnsi="Times New Roman" w:cs="Times New Roman"/>
          <w:i/>
          <w:sz w:val="25"/>
          <w:szCs w:val="25"/>
        </w:rPr>
        <w:t xml:space="preserve">economy </w:t>
      </w:r>
      <w:r w:rsidR="008158CD" w:rsidRPr="00C102C5">
        <w:rPr>
          <w:rFonts w:ascii="Times New Roman" w:hAnsi="Times New Roman" w:cs="Times New Roman"/>
          <w:sz w:val="25"/>
          <w:szCs w:val="25"/>
        </w:rPr>
        <w:t xml:space="preserve">with thinkers who give causal primacy to </w:t>
      </w:r>
      <w:r w:rsidR="00EA7D3E" w:rsidRPr="00C102C5">
        <w:rPr>
          <w:rFonts w:ascii="Times New Roman" w:hAnsi="Times New Roman" w:cs="Times New Roman"/>
          <w:i/>
          <w:sz w:val="25"/>
          <w:szCs w:val="25"/>
        </w:rPr>
        <w:t>culture</w:t>
      </w:r>
      <w:r w:rsidR="008158CD" w:rsidRPr="00C102C5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Or, you might compare authors who </w:t>
      </w:r>
      <w:r w:rsidR="00EA7D3E" w:rsidRPr="00C102C5">
        <w:rPr>
          <w:rFonts w:ascii="Times New Roman" w:hAnsi="Times New Roman" w:cs="Times New Roman"/>
          <w:sz w:val="25"/>
          <w:szCs w:val="25"/>
        </w:rPr>
        <w:t>assume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a lot </w:t>
      </w:r>
      <w:r w:rsidR="00EA7D3E" w:rsidRPr="00C102C5">
        <w:rPr>
          <w:rFonts w:ascii="Times New Roman" w:hAnsi="Times New Roman" w:cs="Times New Roman"/>
          <w:sz w:val="25"/>
          <w:szCs w:val="25"/>
        </w:rPr>
        <w:t>of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>rational agency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with authors who </w:t>
      </w:r>
      <w:r w:rsidR="00EA7D3E" w:rsidRPr="00C102C5">
        <w:rPr>
          <w:rFonts w:ascii="Times New Roman" w:hAnsi="Times New Roman" w:cs="Times New Roman"/>
          <w:sz w:val="25"/>
          <w:szCs w:val="25"/>
        </w:rPr>
        <w:t>assume the importance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EA7D3E" w:rsidRPr="00C102C5">
        <w:rPr>
          <w:rFonts w:ascii="Times New Roman" w:hAnsi="Times New Roman" w:cs="Times New Roman"/>
          <w:sz w:val="25"/>
          <w:szCs w:val="25"/>
        </w:rPr>
        <w:t>of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39639D" w:rsidRPr="00C102C5">
        <w:rPr>
          <w:rFonts w:ascii="Times New Roman" w:hAnsi="Times New Roman" w:cs="Times New Roman"/>
          <w:i/>
          <w:sz w:val="25"/>
          <w:szCs w:val="25"/>
        </w:rPr>
        <w:t>symbolism.</w:t>
      </w:r>
      <w:r w:rsidR="008158CD" w:rsidRPr="00C102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70689F4" w14:textId="77777777" w:rsidR="008158CD" w:rsidRPr="00C102C5" w:rsidRDefault="008158CD" w:rsidP="00A817B5">
      <w:pPr>
        <w:rPr>
          <w:rFonts w:ascii="Times New Roman" w:hAnsi="Times New Roman" w:cs="Times New Roman"/>
          <w:sz w:val="25"/>
          <w:szCs w:val="25"/>
        </w:rPr>
      </w:pPr>
    </w:p>
    <w:p w14:paraId="41E4CE50" w14:textId="22CF46EF" w:rsidR="00083F93" w:rsidRPr="00C102C5" w:rsidRDefault="00EA7D3E" w:rsidP="008158CD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sz w:val="25"/>
          <w:szCs w:val="25"/>
        </w:rPr>
        <w:t>These are just examples: t</w:t>
      </w:r>
      <w:r w:rsidR="008158CD" w:rsidRPr="00C102C5">
        <w:rPr>
          <w:rFonts w:ascii="Times New Roman" w:hAnsi="Times New Roman" w:cs="Times New Roman"/>
          <w:sz w:val="25"/>
          <w:szCs w:val="25"/>
        </w:rPr>
        <w:t>here is no single correct comparison, and you are encouraged to be creative in choosing one. But whatever it is, y</w:t>
      </w:r>
      <w:r w:rsidR="008158CD" w:rsidRPr="00C102C5">
        <w:rPr>
          <w:rFonts w:ascii="Times New Roman" w:hAnsi="Times New Roman" w:cs="Times New Roman"/>
          <w:sz w:val="25"/>
          <w:szCs w:val="25"/>
        </w:rPr>
        <w:t>our selection should reflect you</w:t>
      </w:r>
      <w:r w:rsidR="008158CD" w:rsidRPr="00C102C5">
        <w:rPr>
          <w:rFonts w:ascii="Times New Roman" w:hAnsi="Times New Roman" w:cs="Times New Roman"/>
          <w:sz w:val="25"/>
          <w:szCs w:val="25"/>
        </w:rPr>
        <w:t>r understanding of the readings.</w:t>
      </w:r>
      <w:r w:rsidR="0039639D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8158CD" w:rsidRPr="00C102C5">
        <w:rPr>
          <w:rFonts w:ascii="Times New Roman" w:hAnsi="Times New Roman" w:cs="Times New Roman"/>
          <w:sz w:val="25"/>
          <w:szCs w:val="25"/>
        </w:rPr>
        <w:t xml:space="preserve">Try to think about what comparison makes sense (are you comparing “apples” to “oranges”?), and whether your scope is manageable for this short paper (is this dimension too broad perhaps?). 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For example, grouping Goffman and Fanon as </w:t>
      </w:r>
      <w:r w:rsidRPr="00C102C5">
        <w:rPr>
          <w:rFonts w:ascii="Times New Roman" w:hAnsi="Times New Roman" w:cs="Times New Roman"/>
          <w:sz w:val="25"/>
          <w:szCs w:val="25"/>
        </w:rPr>
        <w:t xml:space="preserve">a 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“class identity” </w:t>
      </w:r>
      <w:r w:rsidRPr="00C102C5">
        <w:rPr>
          <w:rFonts w:ascii="Times New Roman" w:hAnsi="Times New Roman" w:cs="Times New Roman"/>
          <w:sz w:val="25"/>
          <w:szCs w:val="25"/>
        </w:rPr>
        <w:t>approach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against Marx and Tilly as </w:t>
      </w:r>
      <w:r w:rsidRPr="00C102C5">
        <w:rPr>
          <w:rFonts w:ascii="Times New Roman" w:hAnsi="Times New Roman" w:cs="Times New Roman"/>
          <w:sz w:val="25"/>
          <w:szCs w:val="25"/>
        </w:rPr>
        <w:t xml:space="preserve">a 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“racial identity” </w:t>
      </w:r>
      <w:r w:rsidRPr="00C102C5">
        <w:rPr>
          <w:rFonts w:ascii="Times New Roman" w:hAnsi="Times New Roman" w:cs="Times New Roman"/>
          <w:sz w:val="25"/>
          <w:szCs w:val="25"/>
        </w:rPr>
        <w:t>approach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might be a little weird.</w:t>
      </w:r>
      <w:r w:rsidRPr="00C102C5">
        <w:rPr>
          <w:rFonts w:ascii="Times New Roman" w:hAnsi="Times New Roman" w:cs="Times New Roman"/>
          <w:sz w:val="25"/>
          <w:szCs w:val="25"/>
        </w:rPr>
        <w:t xml:space="preserve"> But grouping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Hobsbawm’s and Mann’s view of violence </w:t>
      </w:r>
      <w:r w:rsidR="00327CA7">
        <w:rPr>
          <w:rFonts w:ascii="Times New Roman" w:hAnsi="Times New Roman" w:cs="Times New Roman"/>
          <w:sz w:val="25"/>
          <w:szCs w:val="25"/>
        </w:rPr>
        <w:t>against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Pr="00C102C5">
        <w:rPr>
          <w:rFonts w:ascii="Times New Roman" w:hAnsi="Times New Roman" w:cs="Times New Roman"/>
          <w:sz w:val="25"/>
          <w:szCs w:val="25"/>
        </w:rPr>
        <w:t>that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of Lukes and Weber</w:t>
      </w:r>
      <w:r w:rsidRPr="00C102C5">
        <w:rPr>
          <w:rFonts w:ascii="Times New Roman" w:hAnsi="Times New Roman" w:cs="Times New Roman"/>
          <w:sz w:val="25"/>
          <w:szCs w:val="25"/>
        </w:rPr>
        <w:t xml:space="preserve"> sounds more reasonable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. </w:t>
      </w:r>
      <w:r w:rsidR="00083F93" w:rsidRPr="00C102C5">
        <w:rPr>
          <w:rFonts w:ascii="Times New Roman" w:hAnsi="Times New Roman" w:cs="Times New Roman"/>
          <w:sz w:val="25"/>
          <w:szCs w:val="25"/>
        </w:rPr>
        <w:t>Likewise, comp</w:t>
      </w:r>
      <w:r w:rsidRPr="00C102C5">
        <w:rPr>
          <w:rFonts w:ascii="Times New Roman" w:hAnsi="Times New Roman" w:cs="Times New Roman"/>
          <w:sz w:val="25"/>
          <w:szCs w:val="25"/>
        </w:rPr>
        <w:t>aring</w:t>
      </w:r>
      <w:r w:rsidR="00083F93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Pr="00C102C5">
        <w:rPr>
          <w:rFonts w:ascii="Times New Roman" w:hAnsi="Times New Roman" w:cs="Times New Roman"/>
          <w:sz w:val="25"/>
          <w:szCs w:val="25"/>
        </w:rPr>
        <w:t xml:space="preserve">analyses of </w:t>
      </w:r>
      <w:r w:rsidR="00083F93" w:rsidRPr="00C102C5">
        <w:rPr>
          <w:rFonts w:ascii="Times New Roman" w:hAnsi="Times New Roman" w:cs="Times New Roman"/>
          <w:sz w:val="25"/>
          <w:szCs w:val="25"/>
        </w:rPr>
        <w:t xml:space="preserve">ideas </w:t>
      </w:r>
      <w:r w:rsidRPr="00C102C5">
        <w:rPr>
          <w:rFonts w:ascii="Times New Roman" w:hAnsi="Times New Roman" w:cs="Times New Roman"/>
          <w:sz w:val="25"/>
          <w:szCs w:val="25"/>
        </w:rPr>
        <w:t>about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 everything </w:t>
      </w:r>
      <w:r w:rsidR="00083F93" w:rsidRPr="00C102C5">
        <w:rPr>
          <w:rFonts w:ascii="Times New Roman" w:hAnsi="Times New Roman" w:cs="Times New Roman"/>
          <w:sz w:val="25"/>
          <w:szCs w:val="25"/>
        </w:rPr>
        <w:t>f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rom the dawn of time </w:t>
      </w:r>
      <w:r w:rsidR="00083F93" w:rsidRPr="00C102C5">
        <w:rPr>
          <w:rFonts w:ascii="Times New Roman" w:hAnsi="Times New Roman" w:cs="Times New Roman"/>
          <w:sz w:val="25"/>
          <w:szCs w:val="25"/>
        </w:rPr>
        <w:t>may be a little too much for 5-6 pages; comparing analyses of the role of religion in modernity</w:t>
      </w:r>
      <w:r w:rsidRPr="00C102C5">
        <w:rPr>
          <w:rFonts w:ascii="Times New Roman" w:hAnsi="Times New Roman" w:cs="Times New Roman"/>
          <w:sz w:val="25"/>
          <w:szCs w:val="25"/>
        </w:rPr>
        <w:t>, however, sounds</w:t>
      </w:r>
      <w:r w:rsidR="00083F93" w:rsidRPr="00C102C5">
        <w:rPr>
          <w:rFonts w:ascii="Times New Roman" w:hAnsi="Times New Roman" w:cs="Times New Roman"/>
          <w:sz w:val="25"/>
          <w:szCs w:val="25"/>
        </w:rPr>
        <w:t xml:space="preserve"> more focused.</w:t>
      </w:r>
    </w:p>
    <w:p w14:paraId="00D05F81" w14:textId="131E8D09" w:rsidR="008158CD" w:rsidRPr="00C102C5" w:rsidRDefault="008158CD" w:rsidP="00A817B5">
      <w:pPr>
        <w:rPr>
          <w:rFonts w:ascii="Times New Roman" w:hAnsi="Times New Roman" w:cs="Times New Roman"/>
          <w:sz w:val="25"/>
          <w:szCs w:val="25"/>
        </w:rPr>
      </w:pPr>
    </w:p>
    <w:p w14:paraId="1073E840" w14:textId="27823555" w:rsidR="008158CD" w:rsidRPr="00C102C5" w:rsidRDefault="008158CD" w:rsidP="00A817B5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sz w:val="25"/>
          <w:szCs w:val="25"/>
        </w:rPr>
        <w:t xml:space="preserve">Within your chosen Weeks, </w:t>
      </w:r>
      <w:r w:rsidRPr="00C102C5">
        <w:rPr>
          <w:rFonts w:ascii="Times New Roman" w:hAnsi="Times New Roman" w:cs="Times New Roman"/>
          <w:sz w:val="25"/>
          <w:szCs w:val="25"/>
          <w:u w:val="single"/>
        </w:rPr>
        <w:t>you should cover a majority of the readings within each class</w:t>
      </w:r>
      <w:r w:rsidRPr="00C102C5">
        <w:rPr>
          <w:rFonts w:ascii="Times New Roman" w:hAnsi="Times New Roman" w:cs="Times New Roman"/>
          <w:sz w:val="25"/>
          <w:szCs w:val="25"/>
        </w:rPr>
        <w:t>. For example, if you select to compare Weeks 2 and 3, you should make use of 2/3</w:t>
      </w:r>
      <w:r w:rsidR="00EA7D3E" w:rsidRPr="00C102C5">
        <w:rPr>
          <w:rFonts w:ascii="Times New Roman" w:hAnsi="Times New Roman" w:cs="Times New Roman"/>
          <w:sz w:val="25"/>
          <w:szCs w:val="25"/>
        </w:rPr>
        <w:t xml:space="preserve"> readings</w:t>
      </w:r>
      <w:r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Pr="00C102C5">
        <w:rPr>
          <w:rFonts w:ascii="Times New Roman" w:hAnsi="Times New Roman" w:cs="Times New Roman"/>
          <w:sz w:val="25"/>
          <w:szCs w:val="25"/>
        </w:rPr>
        <w:lastRenderedPageBreak/>
        <w:t xml:space="preserve">from Class 3, </w:t>
      </w:r>
      <w:r w:rsidR="00EA7D3E" w:rsidRPr="00C102C5">
        <w:rPr>
          <w:rFonts w:ascii="Times New Roman" w:hAnsi="Times New Roman" w:cs="Times New Roman"/>
          <w:sz w:val="25"/>
          <w:szCs w:val="25"/>
        </w:rPr>
        <w:t>3/4</w:t>
      </w:r>
      <w:r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EA7D3E" w:rsidRPr="00C102C5">
        <w:rPr>
          <w:rFonts w:ascii="Times New Roman" w:hAnsi="Times New Roman" w:cs="Times New Roman"/>
          <w:sz w:val="25"/>
          <w:szCs w:val="25"/>
        </w:rPr>
        <w:t xml:space="preserve">readings </w:t>
      </w:r>
      <w:r w:rsidRPr="00C102C5">
        <w:rPr>
          <w:rFonts w:ascii="Times New Roman" w:hAnsi="Times New Roman" w:cs="Times New Roman"/>
          <w:sz w:val="25"/>
          <w:szCs w:val="25"/>
        </w:rPr>
        <w:t>from Class 4, 4/6 from Class 5 and 2/3 from Class 6.</w:t>
      </w:r>
      <w:r w:rsidR="00EA7D3E" w:rsidRPr="00C102C5">
        <w:rPr>
          <w:rFonts w:ascii="Times New Roman" w:hAnsi="Times New Roman" w:cs="Times New Roman"/>
          <w:sz w:val="25"/>
          <w:szCs w:val="25"/>
        </w:rPr>
        <w:t xml:space="preserve"> You may cite more than the majority of a given Class, but are not required to.</w:t>
      </w:r>
      <w:r w:rsidRPr="00C102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D1176A8" w14:textId="61178268" w:rsidR="007A51DF" w:rsidRPr="00C102C5" w:rsidRDefault="007A51DF">
      <w:pPr>
        <w:rPr>
          <w:rFonts w:ascii="Times New Roman" w:hAnsi="Times New Roman" w:cs="Times New Roman"/>
          <w:sz w:val="25"/>
          <w:szCs w:val="25"/>
        </w:rPr>
      </w:pPr>
    </w:p>
    <w:p w14:paraId="42BAFAEA" w14:textId="44E6A7AE" w:rsidR="0014062E" w:rsidRPr="00C102C5" w:rsidRDefault="00A817B5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sz w:val="25"/>
          <w:szCs w:val="25"/>
        </w:rPr>
        <w:t xml:space="preserve">B.  </w:t>
      </w:r>
      <w:r w:rsidR="00BC3F98" w:rsidRPr="00C102C5">
        <w:rPr>
          <w:rFonts w:ascii="Times New Roman" w:hAnsi="Times New Roman" w:cs="Times New Roman"/>
          <w:b/>
          <w:sz w:val="25"/>
          <w:szCs w:val="25"/>
        </w:rPr>
        <w:t>Engagement</w:t>
      </w:r>
      <w:r w:rsidR="00CD72DE" w:rsidRPr="00C102C5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CD72DE" w:rsidRPr="00C102C5">
        <w:rPr>
          <w:rFonts w:ascii="Times New Roman" w:hAnsi="Times New Roman" w:cs="Times New Roman"/>
          <w:sz w:val="25"/>
          <w:szCs w:val="25"/>
        </w:rPr>
        <w:t xml:space="preserve">The paper should demonstrate your understanding of the material by referencing specific arguments, theses, examples, etc. in the readings and by synthesizing the main points across authors. </w:t>
      </w:r>
      <w:r w:rsidR="0014062E" w:rsidRPr="00C102C5">
        <w:rPr>
          <w:rFonts w:ascii="Times New Roman" w:hAnsi="Times New Roman" w:cs="Times New Roman"/>
          <w:i/>
          <w:sz w:val="25"/>
          <w:szCs w:val="25"/>
        </w:rPr>
        <w:t xml:space="preserve">Referencing </w:t>
      </w:r>
      <w:r w:rsidR="0014062E" w:rsidRPr="00C102C5">
        <w:rPr>
          <w:rFonts w:ascii="Times New Roman" w:hAnsi="Times New Roman" w:cs="Times New Roman"/>
          <w:sz w:val="25"/>
          <w:szCs w:val="25"/>
        </w:rPr>
        <w:t xml:space="preserve">should be specific enough for us to see that you’ve done and understood the readings. </w:t>
      </w:r>
      <w:r w:rsidR="0013568F" w:rsidRPr="00C102C5">
        <w:rPr>
          <w:rFonts w:ascii="Times New Roman" w:hAnsi="Times New Roman" w:cs="Times New Roman"/>
          <w:sz w:val="25"/>
          <w:szCs w:val="25"/>
        </w:rPr>
        <w:t>The reader</w:t>
      </w:r>
      <w:r w:rsidR="00546524" w:rsidRPr="00C102C5">
        <w:rPr>
          <w:rFonts w:ascii="Times New Roman" w:hAnsi="Times New Roman" w:cs="Times New Roman"/>
          <w:sz w:val="25"/>
          <w:szCs w:val="25"/>
        </w:rPr>
        <w:t xml:space="preserve"> should be able to reconstruct precisely where you are drawing your sum</w:t>
      </w:r>
      <w:r w:rsidR="00A61F89" w:rsidRPr="00C102C5">
        <w:rPr>
          <w:rFonts w:ascii="Times New Roman" w:hAnsi="Times New Roman" w:cs="Times New Roman"/>
          <w:sz w:val="25"/>
          <w:szCs w:val="25"/>
        </w:rPr>
        <w:t xml:space="preserve">maries and interpretations from. The </w:t>
      </w:r>
      <w:r w:rsidR="00A61F89" w:rsidRPr="00C102C5">
        <w:rPr>
          <w:rFonts w:ascii="Times New Roman" w:hAnsi="Times New Roman" w:cs="Times New Roman"/>
          <w:i/>
          <w:sz w:val="25"/>
          <w:szCs w:val="25"/>
        </w:rPr>
        <w:t>synthesis</w:t>
      </w:r>
      <w:r w:rsidR="00A61F89" w:rsidRPr="00C102C5">
        <w:rPr>
          <w:sz w:val="25"/>
          <w:szCs w:val="25"/>
        </w:rPr>
        <w:t xml:space="preserve"> </w:t>
      </w:r>
      <w:r w:rsidR="00A61F89" w:rsidRPr="00C102C5">
        <w:rPr>
          <w:rFonts w:ascii="Times New Roman" w:hAnsi="Times New Roman" w:cs="Times New Roman"/>
          <w:sz w:val="25"/>
          <w:szCs w:val="25"/>
        </w:rPr>
        <w:t xml:space="preserve">should contain only the relevant aspects of the comparison, without </w:t>
      </w:r>
      <w:r w:rsidR="00EA7D3E" w:rsidRPr="00C102C5">
        <w:rPr>
          <w:rFonts w:ascii="Times New Roman" w:hAnsi="Times New Roman" w:cs="Times New Roman"/>
          <w:sz w:val="25"/>
          <w:szCs w:val="25"/>
        </w:rPr>
        <w:t>superfluous</w:t>
      </w:r>
      <w:r w:rsidR="00A61F89" w:rsidRPr="00C102C5">
        <w:rPr>
          <w:rFonts w:ascii="Times New Roman" w:hAnsi="Times New Roman" w:cs="Times New Roman"/>
          <w:sz w:val="25"/>
          <w:szCs w:val="25"/>
        </w:rPr>
        <w:t xml:space="preserve"> information.</w:t>
      </w:r>
      <w:r w:rsidR="00546524"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14062E" w:rsidRPr="00C102C5">
        <w:rPr>
          <w:rFonts w:ascii="Times New Roman" w:hAnsi="Times New Roman" w:cs="Times New Roman"/>
          <w:sz w:val="25"/>
          <w:szCs w:val="25"/>
        </w:rPr>
        <w:t>For example:</w:t>
      </w:r>
    </w:p>
    <w:p w14:paraId="2D712129" w14:textId="6811F477" w:rsidR="0014062E" w:rsidRPr="00C102C5" w:rsidRDefault="0014062E">
      <w:pPr>
        <w:rPr>
          <w:rFonts w:ascii="Times New Roman" w:hAnsi="Times New Roman" w:cs="Times New Roman"/>
          <w:sz w:val="25"/>
          <w:szCs w:val="25"/>
        </w:rPr>
      </w:pPr>
    </w:p>
    <w:p w14:paraId="2FEECB2A" w14:textId="789B8D2C" w:rsidR="0014062E" w:rsidRPr="00C102C5" w:rsidRDefault="0014062E" w:rsidP="00195D43">
      <w:pPr>
        <w:ind w:left="1440" w:hanging="1440"/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b/>
          <w:sz w:val="25"/>
          <w:szCs w:val="25"/>
        </w:rPr>
        <w:t>Great</w:t>
      </w:r>
      <w:r w:rsidRPr="00C102C5">
        <w:rPr>
          <w:rFonts w:ascii="Times New Roman" w:hAnsi="Times New Roman" w:cs="Times New Roman"/>
          <w:sz w:val="25"/>
          <w:szCs w:val="25"/>
        </w:rPr>
        <w:t>:</w:t>
      </w:r>
      <w:r w:rsidR="00195D43" w:rsidRPr="00C102C5">
        <w:rPr>
          <w:rFonts w:ascii="Times New Roman" w:hAnsi="Times New Roman" w:cs="Times New Roman"/>
          <w:sz w:val="25"/>
          <w:szCs w:val="25"/>
        </w:rPr>
        <w:tab/>
      </w:r>
      <w:r w:rsidR="00546524" w:rsidRPr="00C102C5">
        <w:rPr>
          <w:rFonts w:ascii="Times New Roman" w:hAnsi="Times New Roman" w:cs="Times New Roman"/>
          <w:sz w:val="25"/>
          <w:szCs w:val="25"/>
        </w:rPr>
        <w:t xml:space="preserve">Tilly </w:t>
      </w:r>
      <w:r w:rsidR="00195D43" w:rsidRPr="00C102C5">
        <w:rPr>
          <w:rFonts w:ascii="Times New Roman" w:hAnsi="Times New Roman" w:cs="Times New Roman"/>
          <w:sz w:val="25"/>
          <w:szCs w:val="25"/>
        </w:rPr>
        <w:t xml:space="preserve">and Hobsbawm </w:t>
      </w:r>
      <w:r w:rsidR="00EA7D3E" w:rsidRPr="00C102C5">
        <w:rPr>
          <w:rFonts w:ascii="Times New Roman" w:hAnsi="Times New Roman" w:cs="Times New Roman"/>
          <w:sz w:val="25"/>
          <w:szCs w:val="25"/>
        </w:rPr>
        <w:t>liken</w:t>
      </w:r>
      <w:r w:rsidR="00195D43" w:rsidRPr="00C102C5">
        <w:rPr>
          <w:rFonts w:ascii="Times New Roman" w:hAnsi="Times New Roman" w:cs="Times New Roman"/>
          <w:sz w:val="25"/>
          <w:szCs w:val="25"/>
        </w:rPr>
        <w:t xml:space="preserve"> state-making to criminal activity: </w:t>
      </w:r>
      <w:r w:rsidR="00A61F89" w:rsidRPr="00C102C5">
        <w:rPr>
          <w:rFonts w:ascii="Times New Roman" w:hAnsi="Times New Roman" w:cs="Times New Roman"/>
          <w:sz w:val="25"/>
          <w:szCs w:val="25"/>
        </w:rPr>
        <w:t xml:space="preserve">state </w:t>
      </w:r>
      <w:r w:rsidR="00195D43" w:rsidRPr="00C102C5">
        <w:rPr>
          <w:rFonts w:ascii="Times New Roman" w:hAnsi="Times New Roman" w:cs="Times New Roman"/>
          <w:sz w:val="25"/>
          <w:szCs w:val="25"/>
        </w:rPr>
        <w:t xml:space="preserve">“rulers resembled racketeers” (Tilly p. 75), while “the only effective law and power” was </w:t>
      </w:r>
      <w:r w:rsidR="00A61F89" w:rsidRPr="00C102C5">
        <w:rPr>
          <w:rFonts w:ascii="Times New Roman" w:hAnsi="Times New Roman" w:cs="Times New Roman"/>
          <w:sz w:val="25"/>
          <w:szCs w:val="25"/>
        </w:rPr>
        <w:t xml:space="preserve">often </w:t>
      </w:r>
      <w:r w:rsidR="00195D43" w:rsidRPr="00C102C5">
        <w:rPr>
          <w:rFonts w:ascii="Times New Roman" w:hAnsi="Times New Roman" w:cs="Times New Roman"/>
          <w:sz w:val="25"/>
          <w:szCs w:val="25"/>
        </w:rPr>
        <w:t>provided by mafias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 (Hobsbawm p.35).</w:t>
      </w:r>
      <w:r w:rsidR="00195D43" w:rsidRPr="00C102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72F930" w14:textId="16CE11D6" w:rsidR="0014062E" w:rsidRPr="00C102C5" w:rsidRDefault="0014062E" w:rsidP="00A61F89">
      <w:pPr>
        <w:ind w:left="1440" w:hanging="1440"/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b/>
          <w:sz w:val="25"/>
          <w:szCs w:val="25"/>
        </w:rPr>
        <w:t>Good</w:t>
      </w:r>
      <w:r w:rsidRPr="00C102C5">
        <w:rPr>
          <w:rFonts w:ascii="Times New Roman" w:hAnsi="Times New Roman" w:cs="Times New Roman"/>
          <w:sz w:val="25"/>
          <w:szCs w:val="25"/>
        </w:rPr>
        <w:t xml:space="preserve">: </w:t>
      </w:r>
      <w:r w:rsidR="00A61F89" w:rsidRPr="00C102C5">
        <w:rPr>
          <w:rFonts w:ascii="Times New Roman" w:hAnsi="Times New Roman" w:cs="Times New Roman"/>
          <w:sz w:val="25"/>
          <w:szCs w:val="25"/>
        </w:rPr>
        <w:tab/>
        <w:t xml:space="preserve">Durkheim said solidarity is important, and that we have two forms of consciousness, one social and one individual. Mead said language is important, and differentiated the “I” from the “me.” </w:t>
      </w:r>
    </w:p>
    <w:p w14:paraId="0207CC54" w14:textId="1ACBF100" w:rsidR="00A61F89" w:rsidRPr="00C102C5" w:rsidRDefault="0014062E" w:rsidP="00A61F89">
      <w:pPr>
        <w:ind w:left="1440" w:hanging="1440"/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b/>
          <w:sz w:val="25"/>
          <w:szCs w:val="25"/>
        </w:rPr>
        <w:t>Not so good</w:t>
      </w:r>
      <w:r w:rsidRPr="00C102C5">
        <w:rPr>
          <w:rFonts w:ascii="Times New Roman" w:hAnsi="Times New Roman" w:cs="Times New Roman"/>
          <w:sz w:val="25"/>
          <w:szCs w:val="25"/>
        </w:rPr>
        <w:t xml:space="preserve">: </w:t>
      </w:r>
      <w:r w:rsidRPr="00C102C5">
        <w:rPr>
          <w:rFonts w:ascii="Times New Roman" w:hAnsi="Times New Roman" w:cs="Times New Roman"/>
          <w:sz w:val="25"/>
          <w:szCs w:val="25"/>
        </w:rPr>
        <w:tab/>
        <w:t xml:space="preserve">Marx and some of the others thought class was more important than religion, </w:t>
      </w:r>
      <w:r w:rsidR="00546524" w:rsidRPr="00C102C5">
        <w:rPr>
          <w:rFonts w:ascii="Times New Roman" w:hAnsi="Times New Roman" w:cs="Times New Roman"/>
          <w:sz w:val="25"/>
          <w:szCs w:val="25"/>
        </w:rPr>
        <w:t xml:space="preserve">but </w:t>
      </w:r>
      <w:r w:rsidR="0013568F" w:rsidRPr="00C102C5">
        <w:rPr>
          <w:rFonts w:ascii="Times New Roman" w:hAnsi="Times New Roman" w:cs="Times New Roman"/>
          <w:sz w:val="25"/>
          <w:szCs w:val="25"/>
        </w:rPr>
        <w:t>not everybody agreed with that because sometimes coercion is despotic power.</w:t>
      </w:r>
    </w:p>
    <w:p w14:paraId="3EF9D538" w14:textId="77777777" w:rsidR="00A61F89" w:rsidRPr="00C102C5" w:rsidRDefault="00A61F89">
      <w:pPr>
        <w:rPr>
          <w:rFonts w:ascii="Times New Roman" w:hAnsi="Times New Roman" w:cs="Times New Roman"/>
          <w:sz w:val="25"/>
          <w:szCs w:val="25"/>
        </w:rPr>
      </w:pPr>
    </w:p>
    <w:p w14:paraId="278C9ADB" w14:textId="67EB0732" w:rsidR="00CD72DE" w:rsidRPr="00C102C5" w:rsidRDefault="00CD72DE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C102C5">
        <w:rPr>
          <w:rFonts w:ascii="Times New Roman" w:hAnsi="Times New Roman" w:cs="Times New Roman"/>
          <w:color w:val="000000"/>
          <w:sz w:val="25"/>
          <w:szCs w:val="25"/>
        </w:rPr>
        <w:t>Don’t be intimidated by imperfections of your</w:t>
      </w:r>
      <w:bookmarkStart w:id="0" w:name="_GoBack"/>
      <w:bookmarkEnd w:id="0"/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comparison. </w:t>
      </w:r>
      <w:r w:rsidR="00C102C5"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It’s OK to </w:t>
      </w:r>
      <w:r w:rsidR="00327CA7" w:rsidRPr="00C102C5">
        <w:rPr>
          <w:rFonts w:ascii="Times New Roman" w:hAnsi="Times New Roman" w:cs="Times New Roman"/>
          <w:color w:val="000000"/>
          <w:sz w:val="25"/>
          <w:szCs w:val="25"/>
        </w:rPr>
        <w:t>acknowledge</w:t>
      </w:r>
      <w:r w:rsidR="00C102C5"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ambiguity and complexity.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>Exploring gaps not only gives the reader an ability to accurately assess your comparison, but demonstrates your integrity as an author</w:t>
      </w:r>
      <w:r w:rsidR="00C102C5"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There will always be alternative interpretations, confusing passages, and incomplete descriptions. The goal is to differentiate 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</w:rPr>
        <w:t>the relevant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from the irrelevant,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to 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</w:rPr>
        <w:t>clarify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arguments,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and to 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</w:rPr>
        <w:t>synthesize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 what you’ve learned 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 xml:space="preserve">from the readings 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</w:rPr>
        <w:t>concisely</w:t>
      </w:r>
      <w:r w:rsidRPr="00C102C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03FADE21" w14:textId="4118127C" w:rsidR="007A51DF" w:rsidRPr="00C102C5" w:rsidRDefault="007A51DF">
      <w:pPr>
        <w:rPr>
          <w:rFonts w:ascii="Times New Roman" w:hAnsi="Times New Roman" w:cs="Times New Roman"/>
          <w:sz w:val="25"/>
          <w:szCs w:val="25"/>
        </w:rPr>
      </w:pPr>
    </w:p>
    <w:p w14:paraId="3D00C91A" w14:textId="76610643" w:rsidR="00C102C5" w:rsidRPr="00C102C5" w:rsidRDefault="00A817B5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b/>
          <w:sz w:val="25"/>
          <w:szCs w:val="25"/>
        </w:rPr>
        <w:t xml:space="preserve">C. </w:t>
      </w:r>
      <w:r w:rsidR="00BC3F98" w:rsidRPr="00C102C5">
        <w:rPr>
          <w:rFonts w:ascii="Times New Roman" w:hAnsi="Times New Roman" w:cs="Times New Roman"/>
          <w:b/>
          <w:sz w:val="25"/>
          <w:szCs w:val="25"/>
        </w:rPr>
        <w:t>Execution</w:t>
      </w:r>
      <w:r w:rsidRPr="00C102C5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C102C5">
        <w:rPr>
          <w:rFonts w:ascii="Times New Roman" w:hAnsi="Times New Roman" w:cs="Times New Roman"/>
          <w:sz w:val="25"/>
          <w:szCs w:val="25"/>
        </w:rPr>
        <w:t xml:space="preserve">Strong </w:t>
      </w:r>
      <w:r w:rsidR="00C102C5" w:rsidRPr="00C102C5">
        <w:rPr>
          <w:rFonts w:ascii="Times New Roman" w:hAnsi="Times New Roman" w:cs="Times New Roman"/>
          <w:sz w:val="25"/>
          <w:szCs w:val="25"/>
        </w:rPr>
        <w:t>papers</w:t>
      </w:r>
      <w:r w:rsidRPr="00C102C5">
        <w:rPr>
          <w:rFonts w:ascii="Times New Roman" w:hAnsi="Times New Roman" w:cs="Times New Roman"/>
          <w:sz w:val="25"/>
          <w:szCs w:val="25"/>
        </w:rPr>
        <w:t xml:space="preserve"> will be well-written. Take advantage of resources</w:t>
      </w:r>
      <w:r w:rsidR="003772FD" w:rsidRPr="00C102C5">
        <w:rPr>
          <w:rFonts w:ascii="Times New Roman" w:hAnsi="Times New Roman" w:cs="Times New Roman"/>
          <w:sz w:val="25"/>
          <w:szCs w:val="25"/>
        </w:rPr>
        <w:t xml:space="preserve"> such as the </w:t>
      </w:r>
      <w:r w:rsidR="00CD72DE" w:rsidRPr="00C102C5">
        <w:rPr>
          <w:rFonts w:ascii="Times New Roman" w:hAnsi="Times New Roman" w:cs="Times New Roman"/>
          <w:sz w:val="25"/>
          <w:szCs w:val="25"/>
        </w:rPr>
        <w:t>Summer School Writing Center (</w:t>
      </w:r>
      <w:hyperlink r:id="rId4" w:history="1">
        <w:r w:rsidR="00CD72DE" w:rsidRPr="00C102C5">
          <w:rPr>
            <w:rStyle w:val="Hyperlink"/>
            <w:rFonts w:ascii="Times New Roman" w:hAnsi="Times New Roman" w:cs="Times New Roman"/>
            <w:sz w:val="25"/>
            <w:szCs w:val="25"/>
          </w:rPr>
          <w:t>https://www.summer.harvard.edu/resources-policies</w:t>
        </w:r>
      </w:hyperlink>
      <w:r w:rsidR="00CD72DE" w:rsidRPr="00C102C5">
        <w:rPr>
          <w:rFonts w:ascii="Times New Roman" w:hAnsi="Times New Roman" w:cs="Times New Roman"/>
          <w:sz w:val="25"/>
          <w:szCs w:val="25"/>
        </w:rPr>
        <w:t xml:space="preserve">) </w:t>
      </w:r>
      <w:r w:rsidR="003772FD" w:rsidRPr="00C102C5">
        <w:rPr>
          <w:rFonts w:ascii="Times New Roman" w:hAnsi="Times New Roman" w:cs="Times New Roman"/>
          <w:sz w:val="25"/>
          <w:szCs w:val="25"/>
        </w:rPr>
        <w:t>and the “Harvard Guide to Using Source</w:t>
      </w:r>
      <w:r w:rsidRPr="00C102C5">
        <w:rPr>
          <w:rFonts w:ascii="Times New Roman" w:hAnsi="Times New Roman" w:cs="Times New Roman"/>
          <w:sz w:val="25"/>
          <w:szCs w:val="25"/>
        </w:rPr>
        <w:t>.</w:t>
      </w:r>
      <w:r w:rsidR="003772FD" w:rsidRPr="00C102C5">
        <w:rPr>
          <w:rFonts w:ascii="Times New Roman" w:hAnsi="Times New Roman" w:cs="Times New Roman"/>
          <w:sz w:val="25"/>
          <w:szCs w:val="25"/>
        </w:rPr>
        <w:t>”</w:t>
      </w:r>
      <w:r w:rsidRPr="00C102C5">
        <w:rPr>
          <w:rFonts w:ascii="Times New Roman" w:hAnsi="Times New Roman" w:cs="Times New Roman"/>
          <w:sz w:val="25"/>
          <w:szCs w:val="25"/>
        </w:rPr>
        <w:t xml:space="preserve"> 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Make sure </w:t>
      </w:r>
      <w:r w:rsidR="00327CA7" w:rsidRPr="00C102C5">
        <w:rPr>
          <w:rFonts w:ascii="Times New Roman" w:hAnsi="Times New Roman" w:cs="Times New Roman"/>
          <w:sz w:val="25"/>
          <w:szCs w:val="25"/>
        </w:rPr>
        <w:t>sentences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 within a paragraph are coherently connected to each other, and that the paragraphs are clearly building on each other (not merely repeating what has already been said). Do spellcheck, and be grammatical. </w:t>
      </w:r>
      <w:r w:rsidR="00C102C5" w:rsidRPr="00C102C5">
        <w:rPr>
          <w:rFonts w:ascii="Times New Roman" w:hAnsi="Times New Roman" w:cs="Times New Roman"/>
          <w:sz w:val="25"/>
          <w:szCs w:val="25"/>
        </w:rPr>
        <w:t xml:space="preserve">Please avoid run-on </w:t>
      </w:r>
      <w:r w:rsidR="00327CA7" w:rsidRPr="00C102C5">
        <w:rPr>
          <w:rFonts w:ascii="Times New Roman" w:hAnsi="Times New Roman" w:cs="Times New Roman"/>
          <w:sz w:val="25"/>
          <w:szCs w:val="25"/>
        </w:rPr>
        <w:t>sentences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. </w:t>
      </w:r>
      <w:r w:rsidR="00C102C5" w:rsidRPr="00C102C5">
        <w:rPr>
          <w:rFonts w:ascii="Times New Roman" w:hAnsi="Times New Roman" w:cs="Times New Roman"/>
          <w:sz w:val="25"/>
          <w:szCs w:val="25"/>
        </w:rPr>
        <w:t>Use in-text citations and a Works C</w:t>
      </w:r>
      <w:r w:rsidRPr="00C102C5">
        <w:rPr>
          <w:rFonts w:ascii="Times New Roman" w:hAnsi="Times New Roman" w:cs="Times New Roman"/>
          <w:sz w:val="25"/>
          <w:szCs w:val="25"/>
        </w:rPr>
        <w:t>ited page in a consistent style of your choice</w:t>
      </w:r>
      <w:r w:rsidR="00CD0BA6" w:rsidRPr="00C102C5">
        <w:rPr>
          <w:rFonts w:ascii="Times New Roman" w:hAnsi="Times New Roman" w:cs="Times New Roman"/>
          <w:sz w:val="25"/>
          <w:szCs w:val="25"/>
        </w:rPr>
        <w:t xml:space="preserve"> (MLA, APA, ASA, or equivalent). </w:t>
      </w:r>
      <w:r w:rsidR="00CD72DE" w:rsidRPr="00C102C5">
        <w:rPr>
          <w:rFonts w:ascii="Times New Roman" w:hAnsi="Times New Roman" w:cs="Times New Roman"/>
          <w:sz w:val="25"/>
          <w:szCs w:val="25"/>
        </w:rPr>
        <w:t>Any referencing style is OK, but be consistent throughout</w:t>
      </w:r>
      <w:r w:rsidR="0013568F" w:rsidRPr="00C102C5">
        <w:rPr>
          <w:rFonts w:ascii="Times New Roman" w:hAnsi="Times New Roman" w:cs="Times New Roman"/>
          <w:sz w:val="25"/>
          <w:szCs w:val="25"/>
        </w:rPr>
        <w:t xml:space="preserve"> (if it’s C</w:t>
      </w:r>
      <w:r w:rsidR="00C102C5" w:rsidRPr="00C102C5">
        <w:rPr>
          <w:rFonts w:ascii="Times New Roman" w:hAnsi="Times New Roman" w:cs="Times New Roman"/>
          <w:sz w:val="25"/>
          <w:szCs w:val="25"/>
        </w:rPr>
        <w:t>hicago Style, stick to Chicago S</w:t>
      </w:r>
      <w:r w:rsidR="0013568F" w:rsidRPr="00C102C5">
        <w:rPr>
          <w:rFonts w:ascii="Times New Roman" w:hAnsi="Times New Roman" w:cs="Times New Roman"/>
          <w:sz w:val="25"/>
          <w:szCs w:val="25"/>
        </w:rPr>
        <w:t>tyle!)</w:t>
      </w:r>
      <w:r w:rsidR="00CD72DE" w:rsidRPr="00C102C5">
        <w:rPr>
          <w:rFonts w:ascii="Times New Roman" w:hAnsi="Times New Roman" w:cs="Times New Roman"/>
          <w:sz w:val="25"/>
          <w:szCs w:val="25"/>
        </w:rPr>
        <w:t xml:space="preserve">. </w:t>
      </w:r>
      <w:r w:rsidR="00546524" w:rsidRPr="00C102C5">
        <w:rPr>
          <w:rFonts w:ascii="Times New Roman" w:hAnsi="Times New Roman" w:cs="Times New Roman"/>
          <w:sz w:val="25"/>
          <w:szCs w:val="25"/>
        </w:rPr>
        <w:t xml:space="preserve">Use page numbers according to the reading uploads, or note alternative editions. </w:t>
      </w:r>
      <w:r w:rsidR="00CD0BA6" w:rsidRPr="00C102C5">
        <w:rPr>
          <w:rFonts w:ascii="Times New Roman" w:hAnsi="Times New Roman" w:cs="Times New Roman"/>
          <w:sz w:val="25"/>
          <w:szCs w:val="25"/>
        </w:rPr>
        <w:t>Do n</w:t>
      </w:r>
      <w:r w:rsidR="003772FD" w:rsidRPr="00C102C5">
        <w:rPr>
          <w:rFonts w:ascii="Times New Roman" w:hAnsi="Times New Roman" w:cs="Times New Roman"/>
          <w:sz w:val="25"/>
          <w:szCs w:val="25"/>
        </w:rPr>
        <w:t>ot cite the lecture note slides.</w:t>
      </w:r>
      <w:r w:rsidRPr="00C102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DAC74A3" w14:textId="77777777" w:rsidR="00C102C5" w:rsidRPr="00C102C5" w:rsidRDefault="00C102C5">
      <w:pPr>
        <w:rPr>
          <w:rFonts w:ascii="Times New Roman" w:hAnsi="Times New Roman" w:cs="Times New Roman"/>
          <w:sz w:val="25"/>
          <w:szCs w:val="25"/>
        </w:rPr>
      </w:pPr>
    </w:p>
    <w:p w14:paraId="0179DB55" w14:textId="567705B9" w:rsidR="003457A0" w:rsidRPr="00C102C5" w:rsidRDefault="00C102C5">
      <w:pPr>
        <w:rPr>
          <w:rFonts w:ascii="Times New Roman" w:hAnsi="Times New Roman" w:cs="Times New Roman"/>
          <w:sz w:val="25"/>
          <w:szCs w:val="25"/>
        </w:rPr>
      </w:pPr>
      <w:r w:rsidRPr="00C102C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Please review, if you haven't already, the Academic Integrity rules in the syllabus and online at the Summer School website.</w:t>
      </w:r>
      <w:r w:rsidRPr="00C102C5">
        <w:rPr>
          <w:rStyle w:val="apple-converted-space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Zero</w:t>
      </w:r>
      <w:r w:rsidRPr="00C102C5">
        <w:rPr>
          <w:rStyle w:val="apple-converted-space"/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 </w:t>
      </w:r>
      <w:r w:rsidRPr="00C102C5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tolerance</w:t>
      </w:r>
      <w:r w:rsidRPr="00C102C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for plagiarism and other funny business. </w:t>
      </w:r>
    </w:p>
    <w:sectPr w:rsidR="003457A0" w:rsidRPr="00C102C5" w:rsidSect="0037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F"/>
    <w:rsid w:val="00031641"/>
    <w:rsid w:val="00083F93"/>
    <w:rsid w:val="000F596D"/>
    <w:rsid w:val="00125498"/>
    <w:rsid w:val="0013568F"/>
    <w:rsid w:val="0014062E"/>
    <w:rsid w:val="00145AB1"/>
    <w:rsid w:val="00146A75"/>
    <w:rsid w:val="00195D43"/>
    <w:rsid w:val="00197992"/>
    <w:rsid w:val="001D050C"/>
    <w:rsid w:val="00231D81"/>
    <w:rsid w:val="00321D88"/>
    <w:rsid w:val="00327CA7"/>
    <w:rsid w:val="003457A0"/>
    <w:rsid w:val="00376393"/>
    <w:rsid w:val="003772FD"/>
    <w:rsid w:val="0039639D"/>
    <w:rsid w:val="003A03C1"/>
    <w:rsid w:val="003D6F45"/>
    <w:rsid w:val="004A744D"/>
    <w:rsid w:val="004D649B"/>
    <w:rsid w:val="00515BEE"/>
    <w:rsid w:val="00546524"/>
    <w:rsid w:val="00584F8A"/>
    <w:rsid w:val="005931C9"/>
    <w:rsid w:val="005B10C8"/>
    <w:rsid w:val="00670250"/>
    <w:rsid w:val="0069633A"/>
    <w:rsid w:val="006A2973"/>
    <w:rsid w:val="007608E6"/>
    <w:rsid w:val="007A51DF"/>
    <w:rsid w:val="007B3A09"/>
    <w:rsid w:val="007B71C2"/>
    <w:rsid w:val="008158CD"/>
    <w:rsid w:val="008367D2"/>
    <w:rsid w:val="00873690"/>
    <w:rsid w:val="00874483"/>
    <w:rsid w:val="008B55CF"/>
    <w:rsid w:val="008F4EC6"/>
    <w:rsid w:val="00940FCC"/>
    <w:rsid w:val="00942055"/>
    <w:rsid w:val="00A57F2F"/>
    <w:rsid w:val="00A61F89"/>
    <w:rsid w:val="00A817B5"/>
    <w:rsid w:val="00B0296F"/>
    <w:rsid w:val="00B224D6"/>
    <w:rsid w:val="00B2542C"/>
    <w:rsid w:val="00BC3F98"/>
    <w:rsid w:val="00C102C5"/>
    <w:rsid w:val="00C214CC"/>
    <w:rsid w:val="00C36719"/>
    <w:rsid w:val="00CD0BA6"/>
    <w:rsid w:val="00CD72DE"/>
    <w:rsid w:val="00E20627"/>
    <w:rsid w:val="00EA645A"/>
    <w:rsid w:val="00EA7D3E"/>
    <w:rsid w:val="00EF49C0"/>
    <w:rsid w:val="00F237E3"/>
    <w:rsid w:val="00F705F7"/>
    <w:rsid w:val="00F978C7"/>
    <w:rsid w:val="00F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8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69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369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72D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1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mmer.harvard.edu/resource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dada</cp:lastModifiedBy>
  <cp:revision>5</cp:revision>
  <dcterms:created xsi:type="dcterms:W3CDTF">2017-07-05T18:52:00Z</dcterms:created>
  <dcterms:modified xsi:type="dcterms:W3CDTF">2017-07-05T20:47:00Z</dcterms:modified>
</cp:coreProperties>
</file>