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7B0C5768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2A0B58">
        <w:t xml:space="preserve">, </w:t>
      </w:r>
      <w:proofErr w:type="gramStart"/>
      <w:r w:rsidR="002A0B58">
        <w:t>Spring</w:t>
      </w:r>
      <w:proofErr w:type="gramEnd"/>
      <w:r w:rsidR="002A0B58">
        <w:t xml:space="preserve"> 2019</w:t>
      </w:r>
    </w:p>
    <w:p w14:paraId="274E7859" w14:textId="48FBEA5D" w:rsidR="002C7E65" w:rsidRDefault="006D56E5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>
        <w:t>1</w:t>
      </w:r>
      <w:r w:rsidR="008A2A7D">
        <w:t xml:space="preserve">: </w:t>
      </w:r>
      <w:r w:rsidR="00EA0795">
        <w:t>Biological Sequences: Concepts and Data</w:t>
      </w:r>
    </w:p>
    <w:p w14:paraId="1F139882" w14:textId="421EE927" w:rsidR="00B0546A" w:rsidRDefault="007C682E" w:rsidP="0031634A">
      <w:r>
        <w:t xml:space="preserve">This lecture introduces biological sequences (e.g. genomes, genes, transcripts, and proteins) as an important biological data type, </w:t>
      </w:r>
      <w:r w:rsidR="005F54EA">
        <w:t xml:space="preserve">as well as </w:t>
      </w:r>
      <w:r>
        <w:t xml:space="preserve">methods and tools for </w:t>
      </w:r>
      <w:r w:rsidR="000B67E3">
        <w:t xml:space="preserve">acquiring, </w:t>
      </w:r>
      <w:r>
        <w:t xml:space="preserve">representing, </w:t>
      </w:r>
      <w:r w:rsidR="000B67E3">
        <w:t>and organizing such data</w:t>
      </w:r>
      <w:r>
        <w:t>.</w:t>
      </w:r>
    </w:p>
    <w:p w14:paraId="086BAA48" w14:textId="0D67ADAA" w:rsidR="0010760C" w:rsidRDefault="007C682E" w:rsidP="00965B60">
      <w:pPr>
        <w:pStyle w:val="Heading2"/>
      </w:pPr>
      <w:r>
        <w:t>Biopolymers</w:t>
      </w:r>
    </w:p>
    <w:p w14:paraId="5D7E0A0E" w14:textId="639E68B6" w:rsidR="007C682E" w:rsidRDefault="007C682E" w:rsidP="007C682E">
      <w:r>
        <w:t xml:space="preserve">Nucleic acids </w:t>
      </w:r>
      <w:r w:rsidR="00576E7B">
        <w:t xml:space="preserve">(DNA and RNA) </w:t>
      </w:r>
      <w:r>
        <w:t xml:space="preserve">and polypeptides </w:t>
      </w:r>
      <w:r w:rsidR="00576E7B">
        <w:t xml:space="preserve">(proteins) </w:t>
      </w:r>
      <w:r>
        <w:t xml:space="preserve">are biological polymers </w:t>
      </w:r>
      <w:r w:rsidR="00934C2D">
        <w:t xml:space="preserve">comprised of specially arranged </w:t>
      </w:r>
      <w:r>
        <w:t xml:space="preserve">molecular subunits. </w:t>
      </w:r>
      <w:r w:rsidR="00934C2D">
        <w:t xml:space="preserve">This property allows biopolymers to </w:t>
      </w:r>
      <w:r>
        <w:t xml:space="preserve">store information. Biopolymers are associated </w:t>
      </w:r>
      <w:r w:rsidR="00090679">
        <w:t xml:space="preserve">via </w:t>
      </w:r>
      <w:r>
        <w:t xml:space="preserve">the central dogma </w:t>
      </w:r>
      <w:r w:rsidR="00090679">
        <w:t>of molecular biology</w:t>
      </w:r>
      <w:r>
        <w:t>. Biopolymers are represented as strings of 1-letter representations of their molecular subunits.</w:t>
      </w:r>
      <w:r w:rsidR="00576E7B">
        <w:t xml:space="preserve"> Biopolymer sequences have a dual role in biology: 1) representing biological entities (e.g. genes and genomes) and </w:t>
      </w:r>
      <w:r w:rsidR="00865A92">
        <w:t xml:space="preserve">2) </w:t>
      </w:r>
      <w:r w:rsidR="00576E7B">
        <w:t>as a means of quantifying biological state</w:t>
      </w:r>
      <w:r w:rsidR="008818EE">
        <w:t>s</w:t>
      </w:r>
      <w:r w:rsidR="00576E7B">
        <w:t xml:space="preserve"> (e.g. RNA-</w:t>
      </w:r>
      <w:proofErr w:type="spellStart"/>
      <w:r w:rsidR="00576E7B">
        <w:t>seq</w:t>
      </w:r>
      <w:proofErr w:type="spellEnd"/>
      <w:r w:rsidR="00576E7B">
        <w:t>).</w:t>
      </w:r>
    </w:p>
    <w:p w14:paraId="1604502E" w14:textId="53100A36" w:rsidR="00AA2B34" w:rsidRDefault="00AA244C" w:rsidP="00AA2B34">
      <w:pPr>
        <w:pStyle w:val="Heading2"/>
      </w:pPr>
      <w:r>
        <w:t xml:space="preserve">DNA </w:t>
      </w:r>
      <w:r w:rsidR="00AA2B34">
        <w:t>sequencing</w:t>
      </w:r>
    </w:p>
    <w:p w14:paraId="3C7B7152" w14:textId="4644016D" w:rsidR="00AA244C" w:rsidRDefault="00CA169B" w:rsidP="00AA2B34">
      <w:r>
        <w:t xml:space="preserve">DNA </w:t>
      </w:r>
      <w:r w:rsidR="007D0FD5">
        <w:t xml:space="preserve">sequencing </w:t>
      </w:r>
      <w:r w:rsidR="00971CDD">
        <w:t xml:space="preserve">methods are largely </w:t>
      </w:r>
      <w:r w:rsidR="007D0FD5">
        <w:t xml:space="preserve">based on the </w:t>
      </w:r>
      <w:r w:rsidR="00187360">
        <w:t xml:space="preserve">natural </w:t>
      </w:r>
      <w:r w:rsidR="007D0FD5">
        <w:t xml:space="preserve">chemistry of DNA replication (“sequencing by synthesis”). Sanger sequencing </w:t>
      </w:r>
      <w:r w:rsidR="00187360">
        <w:t xml:space="preserve">is a long-standing </w:t>
      </w:r>
      <w:r w:rsidR="007D0FD5">
        <w:t xml:space="preserve">method based on </w:t>
      </w:r>
      <w:r w:rsidR="00187360">
        <w:t xml:space="preserve">fragment </w:t>
      </w:r>
      <w:r w:rsidR="007D0FD5">
        <w:t xml:space="preserve">termination and size separation. </w:t>
      </w:r>
      <w:r w:rsidR="00BE5916">
        <w:t>Modern</w:t>
      </w:r>
      <w:r w:rsidR="00971CDD">
        <w:t>,</w:t>
      </w:r>
      <w:r w:rsidR="00BE5916">
        <w:t xml:space="preserve"> </w:t>
      </w:r>
      <w:r w:rsidR="007D0FD5">
        <w:t xml:space="preserve">high-throughput methods </w:t>
      </w:r>
      <w:r w:rsidR="00187360">
        <w:t xml:space="preserve">use reversible termination and image processing to </w:t>
      </w:r>
      <w:r w:rsidR="007D0FD5">
        <w:t xml:space="preserve">follow </w:t>
      </w:r>
      <w:r w:rsidR="00187360">
        <w:t xml:space="preserve">the </w:t>
      </w:r>
      <w:r w:rsidR="007D0FD5">
        <w:t xml:space="preserve">stepwise synthesis of </w:t>
      </w:r>
      <w:r w:rsidR="0083509B">
        <w:t xml:space="preserve">10s of </w:t>
      </w:r>
      <w:r w:rsidR="007D0FD5">
        <w:t xml:space="preserve">millions of </w:t>
      </w:r>
      <w:r w:rsidR="00C77D84">
        <w:t xml:space="preserve">DNA </w:t>
      </w:r>
      <w:r w:rsidR="007D0FD5">
        <w:t xml:space="preserve">fragments </w:t>
      </w:r>
      <w:r w:rsidR="00187360">
        <w:t>simultaneously.</w:t>
      </w:r>
      <w:r w:rsidR="005D11C1">
        <w:t xml:space="preserve"> </w:t>
      </w:r>
      <w:r w:rsidR="00971CDD">
        <w:t xml:space="preserve">Short (~100 </w:t>
      </w:r>
      <w:proofErr w:type="spellStart"/>
      <w:proofErr w:type="gramStart"/>
      <w:r w:rsidR="00971CDD">
        <w:t>nt</w:t>
      </w:r>
      <w:proofErr w:type="spellEnd"/>
      <w:proofErr w:type="gramEnd"/>
      <w:r w:rsidR="00971CDD">
        <w:t>) sequencing reads are generated in pairs from the ends of randomly sampled DNA fragments (“shotgun sequencing”).</w:t>
      </w:r>
      <w:r w:rsidR="00822077">
        <w:t xml:space="preserve"> These reads can be </w:t>
      </w:r>
      <w:r w:rsidR="00971CDD">
        <w:t>assembled into biological sequences</w:t>
      </w:r>
      <w:r w:rsidR="00822077">
        <w:t xml:space="preserve"> (e.g. genes and genomes) </w:t>
      </w:r>
      <w:r w:rsidR="00971CDD">
        <w:t>or used directly for quantification</w:t>
      </w:r>
      <w:r w:rsidR="00731048">
        <w:t>.</w:t>
      </w:r>
    </w:p>
    <w:p w14:paraId="1DE555BF" w14:textId="29648C91" w:rsidR="00AA244C" w:rsidRPr="00CA169B" w:rsidRDefault="00AA244C" w:rsidP="007054B7">
      <w:pPr>
        <w:pStyle w:val="Heading2"/>
      </w:pPr>
      <w:r w:rsidRPr="00CA169B">
        <w:t>Determining RNA and protein sequences</w:t>
      </w:r>
    </w:p>
    <w:p w14:paraId="3E827161" w14:textId="0224BE68" w:rsidR="007054B7" w:rsidRDefault="00F2361B" w:rsidP="00AA2B34">
      <w:r>
        <w:t xml:space="preserve">RNA sequencing </w:t>
      </w:r>
      <w:r w:rsidR="007054B7">
        <w:t xml:space="preserve">is performed through reverse transcription to DNA molecules, followed by traditional DNA sequencing. Proteins cannot be directly sequenced in </w:t>
      </w:r>
      <w:r w:rsidR="00454807">
        <w:t>such a way</w:t>
      </w:r>
      <w:r w:rsidR="007054B7">
        <w:t xml:space="preserve">: their sequences are </w:t>
      </w:r>
      <w:r w:rsidR="00BD5DB3">
        <w:t xml:space="preserve">discovered computationally </w:t>
      </w:r>
      <w:r w:rsidR="007054B7">
        <w:t xml:space="preserve">by searching DNA sequences for </w:t>
      </w:r>
      <w:r w:rsidR="003F28A5">
        <w:t>o</w:t>
      </w:r>
      <w:r w:rsidR="007054B7">
        <w:t xml:space="preserve">pen </w:t>
      </w:r>
      <w:r w:rsidR="003F28A5">
        <w:t>r</w:t>
      </w:r>
      <w:r w:rsidR="007054B7">
        <w:t xml:space="preserve">eading </w:t>
      </w:r>
      <w:r w:rsidR="003F28A5">
        <w:t>f</w:t>
      </w:r>
      <w:r w:rsidR="007054B7">
        <w:t>rames</w:t>
      </w:r>
      <w:r w:rsidR="00212F07">
        <w:t xml:space="preserve"> (ORFs) or through mass spectrometry</w:t>
      </w:r>
      <w:r w:rsidR="007054B7">
        <w:t>.</w:t>
      </w:r>
    </w:p>
    <w:p w14:paraId="3C3601C6" w14:textId="185C1707" w:rsidR="00772243" w:rsidRDefault="00A24CD1" w:rsidP="0005668B">
      <w:pPr>
        <w:pStyle w:val="Heading2"/>
      </w:pPr>
      <w:r>
        <w:t>FASTA files</w:t>
      </w:r>
    </w:p>
    <w:p w14:paraId="4A29846A" w14:textId="666ED9B2" w:rsidR="00A24CD1" w:rsidRDefault="00A24CD1" w:rsidP="00A24CD1">
      <w:r>
        <w:t xml:space="preserve">The FASTA </w:t>
      </w:r>
      <w:r w:rsidR="0062286A">
        <w:t xml:space="preserve">file </w:t>
      </w:r>
      <w:r>
        <w:t xml:space="preserve">format </w:t>
      </w:r>
      <w:r w:rsidR="0062286A">
        <w:t xml:space="preserve">represents </w:t>
      </w:r>
      <w:r>
        <w:t xml:space="preserve">biological sequence data. It consists of </w:t>
      </w:r>
      <w:r w:rsidR="0062286A">
        <w:t xml:space="preserve">individual </w:t>
      </w:r>
      <w:r>
        <w:t>header lines</w:t>
      </w:r>
      <w:r w:rsidR="0062286A">
        <w:t xml:space="preserve">, one per sequence and starting with </w:t>
      </w:r>
      <w:r>
        <w:t>“&gt;</w:t>
      </w:r>
      <w:r w:rsidR="0062286A">
        <w:t>,</w:t>
      </w:r>
      <w:r>
        <w:t>”</w:t>
      </w:r>
      <w:r w:rsidR="0062286A">
        <w:t xml:space="preserve"> </w:t>
      </w:r>
      <w:r>
        <w:t xml:space="preserve">followed by one or more lines of corresponding sequence </w:t>
      </w:r>
      <w:r w:rsidR="0062286A">
        <w:t>information</w:t>
      </w:r>
      <w:r>
        <w:t>.</w:t>
      </w:r>
    </w:p>
    <w:p w14:paraId="3DF33109" w14:textId="3891918C" w:rsidR="00143F3A" w:rsidRDefault="00143F3A" w:rsidP="00143F3A">
      <w:pPr>
        <w:pStyle w:val="Heading2"/>
      </w:pPr>
      <w:r>
        <w:t>FASTQ</w:t>
      </w:r>
      <w:r>
        <w:t xml:space="preserve"> files</w:t>
      </w:r>
    </w:p>
    <w:p w14:paraId="71779CEC" w14:textId="7E974DAC" w:rsidR="00143F3A" w:rsidRDefault="00B1171B" w:rsidP="00143F3A">
      <w:r>
        <w:t>FASTQ files store raw sequencing reads</w:t>
      </w:r>
      <w:r w:rsidR="00143F3A">
        <w:t xml:space="preserve"> and associated quality scores</w:t>
      </w:r>
      <w:r w:rsidR="00544273">
        <w:t xml:space="preserve"> (4 lines/read)</w:t>
      </w:r>
      <w:r w:rsidR="00143F3A">
        <w:t>. Quality (</w:t>
      </w:r>
      <w:proofErr w:type="spellStart"/>
      <w:r w:rsidR="00143F3A">
        <w:t>Phred</w:t>
      </w:r>
      <w:proofErr w:type="spellEnd"/>
      <w:r w:rsidR="00143F3A">
        <w:t>) scores vary logarithmically with the probability of an error and are represented by ASCII characters. FASTQ files typically come in pairs representing the respective ends of sequenced DNA fragments.</w:t>
      </w:r>
    </w:p>
    <w:p w14:paraId="7D56A58E" w14:textId="001A2C81" w:rsidR="00D04A84" w:rsidRDefault="00D04A84" w:rsidP="00D04A84">
      <w:pPr>
        <w:pStyle w:val="Heading2"/>
      </w:pPr>
      <w:r>
        <w:t>Sequence databases</w:t>
      </w:r>
    </w:p>
    <w:p w14:paraId="66C9447D" w14:textId="0F40CC87" w:rsidR="00D04A84" w:rsidRPr="00D04A84" w:rsidRDefault="00D04A84" w:rsidP="00D04A84">
      <w:r>
        <w:t xml:space="preserve">The NCBI and EMBL-EBI maintain a variety of useful databases for exploring/retrieving biological sequence information, including </w:t>
      </w:r>
      <w:proofErr w:type="spellStart"/>
      <w:r>
        <w:t>Genbank</w:t>
      </w:r>
      <w:proofErr w:type="spellEnd"/>
      <w:r>
        <w:t xml:space="preserve">, </w:t>
      </w:r>
      <w:proofErr w:type="spellStart"/>
      <w:r>
        <w:t>RefSeq</w:t>
      </w:r>
      <w:proofErr w:type="spellEnd"/>
      <w:r>
        <w:t xml:space="preserve">, </w:t>
      </w:r>
      <w:proofErr w:type="spellStart"/>
      <w:r>
        <w:t>Ensembl</w:t>
      </w:r>
      <w:proofErr w:type="spellEnd"/>
      <w:r>
        <w:t xml:space="preserve">, and </w:t>
      </w:r>
      <w:proofErr w:type="spellStart"/>
      <w:r>
        <w:t>UniProt</w:t>
      </w:r>
      <w:proofErr w:type="spellEnd"/>
      <w:r>
        <w:t>.</w:t>
      </w:r>
      <w:r w:rsidR="00706E1E">
        <w:t xml:space="preserve"> The NCBI Sequence Read Archive (SRA) is the primary source of raw sequencing reads </w:t>
      </w:r>
      <w:r w:rsidR="009E4197">
        <w:t xml:space="preserve">from </w:t>
      </w:r>
      <w:bookmarkStart w:id="0" w:name="_GoBack"/>
      <w:bookmarkEnd w:id="0"/>
      <w:r w:rsidR="00706E1E">
        <w:t>scientific studies.</w:t>
      </w:r>
    </w:p>
    <w:p w14:paraId="0E00CE60" w14:textId="7004F9C5" w:rsidR="002127DC" w:rsidRDefault="00133E06" w:rsidP="002127DC">
      <w:pPr>
        <w:pStyle w:val="Heading1"/>
      </w:pPr>
      <w:r>
        <w:t>Suggested textbook reading</w:t>
      </w:r>
    </w:p>
    <w:p w14:paraId="2177C3DE" w14:textId="39B04E94" w:rsidR="00133E06" w:rsidRDefault="000006EE" w:rsidP="008052BF">
      <w:pPr>
        <w:pStyle w:val="ListParagraph"/>
        <w:numPr>
          <w:ilvl w:val="0"/>
          <w:numId w:val="15"/>
        </w:numPr>
        <w:spacing w:after="0"/>
      </w:pPr>
      <w:r>
        <w:t xml:space="preserve">Pevsner, </w:t>
      </w:r>
      <w:r w:rsidR="00695917">
        <w:t>Chapter 2</w:t>
      </w:r>
      <w:r w:rsidR="00911598">
        <w:t>,</w:t>
      </w:r>
      <w:r w:rsidR="00695917">
        <w:t xml:space="preserve"> p19-37</w:t>
      </w:r>
      <w:r w:rsidR="00EF630C">
        <w:t xml:space="preserve"> (Databases)</w:t>
      </w:r>
    </w:p>
    <w:p w14:paraId="114FB3C5" w14:textId="5110334C" w:rsidR="00EF630C" w:rsidRDefault="00EF630C" w:rsidP="008052BF">
      <w:pPr>
        <w:pStyle w:val="ListParagraph"/>
        <w:numPr>
          <w:ilvl w:val="0"/>
          <w:numId w:val="15"/>
        </w:numPr>
        <w:spacing w:after="0"/>
      </w:pPr>
      <w:r>
        <w:t>Pevsner, Chapter 9, p377-393 (Sequencing methods and FASTQ files)</w:t>
      </w:r>
    </w:p>
    <w:p w14:paraId="3BC35E94" w14:textId="37C03A44" w:rsidR="00EF630C" w:rsidRDefault="00EF630C" w:rsidP="008052BF">
      <w:pPr>
        <w:pStyle w:val="ListParagraph"/>
        <w:numPr>
          <w:ilvl w:val="0"/>
          <w:numId w:val="15"/>
        </w:numPr>
        <w:spacing w:after="0"/>
      </w:pPr>
      <w:proofErr w:type="spellStart"/>
      <w:r>
        <w:t>Lesk</w:t>
      </w:r>
      <w:proofErr w:type="spellEnd"/>
      <w:r>
        <w:t>, Chapter 1, p1-32 (Introduction to genomics)</w:t>
      </w:r>
    </w:p>
    <w:p w14:paraId="758CDB26" w14:textId="6488071C" w:rsidR="00EF630C" w:rsidRDefault="00EF630C" w:rsidP="008052BF">
      <w:pPr>
        <w:pStyle w:val="ListParagraph"/>
        <w:numPr>
          <w:ilvl w:val="0"/>
          <w:numId w:val="15"/>
        </w:numPr>
        <w:spacing w:after="0"/>
      </w:pPr>
      <w:proofErr w:type="spellStart"/>
      <w:r>
        <w:t>Lesk</w:t>
      </w:r>
      <w:proofErr w:type="spellEnd"/>
      <w:r>
        <w:t>, Chapter 3, p110-130 (Sequencing methods and databases)</w:t>
      </w:r>
    </w:p>
    <w:p w14:paraId="41886EE5" w14:textId="1F32242C" w:rsidR="002127DC" w:rsidRDefault="00133E06" w:rsidP="002127DC">
      <w:pPr>
        <w:pStyle w:val="Heading1"/>
      </w:pPr>
      <w:r>
        <w:t>Related literature</w:t>
      </w:r>
    </w:p>
    <w:p w14:paraId="4FBCC48E" w14:textId="577A6655" w:rsidR="009D6B57" w:rsidRPr="001408F3" w:rsidRDefault="009D6B57" w:rsidP="009D6B57">
      <w:pPr>
        <w:pStyle w:val="ListParagraph"/>
        <w:numPr>
          <w:ilvl w:val="0"/>
          <w:numId w:val="14"/>
        </w:numPr>
      </w:pPr>
      <w:hyperlink r:id="rId9" w:history="1">
        <w:r w:rsidR="001408F3" w:rsidRPr="009D6B57">
          <w:rPr>
            <w:rStyle w:val="Hyperlink"/>
          </w:rPr>
          <w:t xml:space="preserve">F. Sanger, S. </w:t>
        </w:r>
        <w:proofErr w:type="spellStart"/>
        <w:r w:rsidR="001408F3" w:rsidRPr="009D6B57">
          <w:rPr>
            <w:rStyle w:val="Hyperlink"/>
          </w:rPr>
          <w:t>Nicklen</w:t>
        </w:r>
        <w:proofErr w:type="spellEnd"/>
        <w:r w:rsidR="001408F3" w:rsidRPr="009D6B57">
          <w:rPr>
            <w:rStyle w:val="Hyperlink"/>
          </w:rPr>
          <w:t xml:space="preserve">, and A. R. Coulson. DNA sequencing with chain-terminating inhibitors. </w:t>
        </w:r>
        <w:r w:rsidR="001408F3" w:rsidRPr="009D6B57">
          <w:rPr>
            <w:rStyle w:val="Hyperlink"/>
            <w:i/>
          </w:rPr>
          <w:t>PNAS</w:t>
        </w:r>
        <w:r w:rsidR="001408F3" w:rsidRPr="009D6B57">
          <w:rPr>
            <w:rStyle w:val="Hyperlink"/>
          </w:rPr>
          <w:t xml:space="preserve"> 12:5463-5467 (1977).</w:t>
        </w:r>
      </w:hyperlink>
    </w:p>
    <w:sectPr w:rsidR="009D6B57" w:rsidRPr="001408F3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B20A05" w:rsidRDefault="00B20A05">
      <w:r>
        <w:separator/>
      </w:r>
    </w:p>
  </w:endnote>
  <w:endnote w:type="continuationSeparator" w:id="0">
    <w:p w14:paraId="142E2F22" w14:textId="77777777" w:rsidR="00B20A05" w:rsidRDefault="00B2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B20A05" w:rsidRDefault="00B20A05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B20A05" w:rsidRDefault="00B20A0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B20A05" w:rsidRPr="00171224" w:rsidRDefault="00B20A0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B20A05" w:rsidRDefault="00B20A05">
      <w:r>
        <w:separator/>
      </w:r>
    </w:p>
  </w:footnote>
  <w:footnote w:type="continuationSeparator" w:id="0">
    <w:p w14:paraId="7776DE3A" w14:textId="77777777" w:rsidR="00B20A05" w:rsidRDefault="00B2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146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6764C"/>
    <w:rsid w:val="00070D80"/>
    <w:rsid w:val="00070FAE"/>
    <w:rsid w:val="00071E6D"/>
    <w:rsid w:val="00084B28"/>
    <w:rsid w:val="00085660"/>
    <w:rsid w:val="00090679"/>
    <w:rsid w:val="0009532F"/>
    <w:rsid w:val="000A55B3"/>
    <w:rsid w:val="000B0B8E"/>
    <w:rsid w:val="000B33CC"/>
    <w:rsid w:val="000B4DDE"/>
    <w:rsid w:val="000B67E3"/>
    <w:rsid w:val="000B754C"/>
    <w:rsid w:val="000C005E"/>
    <w:rsid w:val="000C5126"/>
    <w:rsid w:val="000C65EC"/>
    <w:rsid w:val="000D0754"/>
    <w:rsid w:val="000D59B4"/>
    <w:rsid w:val="000E3F0C"/>
    <w:rsid w:val="000F4539"/>
    <w:rsid w:val="00101F3F"/>
    <w:rsid w:val="0010739D"/>
    <w:rsid w:val="0010760C"/>
    <w:rsid w:val="00131DF3"/>
    <w:rsid w:val="00133E06"/>
    <w:rsid w:val="00136408"/>
    <w:rsid w:val="001408F3"/>
    <w:rsid w:val="0014246B"/>
    <w:rsid w:val="00143F3A"/>
    <w:rsid w:val="0014788D"/>
    <w:rsid w:val="0015453C"/>
    <w:rsid w:val="001558DC"/>
    <w:rsid w:val="00160633"/>
    <w:rsid w:val="00171224"/>
    <w:rsid w:val="00172A5A"/>
    <w:rsid w:val="00187360"/>
    <w:rsid w:val="001877C5"/>
    <w:rsid w:val="00193A41"/>
    <w:rsid w:val="00194ECA"/>
    <w:rsid w:val="00195351"/>
    <w:rsid w:val="00196415"/>
    <w:rsid w:val="001B2DF0"/>
    <w:rsid w:val="001B6971"/>
    <w:rsid w:val="001D3436"/>
    <w:rsid w:val="001D489C"/>
    <w:rsid w:val="001E565B"/>
    <w:rsid w:val="001F691C"/>
    <w:rsid w:val="002127DC"/>
    <w:rsid w:val="00212F07"/>
    <w:rsid w:val="002144EF"/>
    <w:rsid w:val="002173A6"/>
    <w:rsid w:val="0023728D"/>
    <w:rsid w:val="002446FF"/>
    <w:rsid w:val="00246BA9"/>
    <w:rsid w:val="0027491E"/>
    <w:rsid w:val="00277F4A"/>
    <w:rsid w:val="002A0B58"/>
    <w:rsid w:val="002A6C54"/>
    <w:rsid w:val="002B0817"/>
    <w:rsid w:val="002C152D"/>
    <w:rsid w:val="002C7E65"/>
    <w:rsid w:val="002E343B"/>
    <w:rsid w:val="002E6DE3"/>
    <w:rsid w:val="00302329"/>
    <w:rsid w:val="00310DA3"/>
    <w:rsid w:val="00314AE3"/>
    <w:rsid w:val="0031634A"/>
    <w:rsid w:val="003206D1"/>
    <w:rsid w:val="00323E12"/>
    <w:rsid w:val="003300D7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3F1C2E"/>
    <w:rsid w:val="003F28A5"/>
    <w:rsid w:val="00402FF6"/>
    <w:rsid w:val="00404D59"/>
    <w:rsid w:val="00417B6D"/>
    <w:rsid w:val="00453DD3"/>
    <w:rsid w:val="00454807"/>
    <w:rsid w:val="00464BCA"/>
    <w:rsid w:val="004712AC"/>
    <w:rsid w:val="004A2ECE"/>
    <w:rsid w:val="004C3E5D"/>
    <w:rsid w:val="004D109A"/>
    <w:rsid w:val="004E214A"/>
    <w:rsid w:val="004F0111"/>
    <w:rsid w:val="004F3A47"/>
    <w:rsid w:val="004F437D"/>
    <w:rsid w:val="00501657"/>
    <w:rsid w:val="005045E4"/>
    <w:rsid w:val="00504EEB"/>
    <w:rsid w:val="00513E7F"/>
    <w:rsid w:val="00536D0D"/>
    <w:rsid w:val="00544273"/>
    <w:rsid w:val="005635C9"/>
    <w:rsid w:val="00572551"/>
    <w:rsid w:val="00572C7C"/>
    <w:rsid w:val="00574100"/>
    <w:rsid w:val="005760DF"/>
    <w:rsid w:val="00576E7B"/>
    <w:rsid w:val="005B1529"/>
    <w:rsid w:val="005B6D0C"/>
    <w:rsid w:val="005B7B30"/>
    <w:rsid w:val="005C115E"/>
    <w:rsid w:val="005C4B6E"/>
    <w:rsid w:val="005C77D3"/>
    <w:rsid w:val="005D11C1"/>
    <w:rsid w:val="005F54EA"/>
    <w:rsid w:val="006110A8"/>
    <w:rsid w:val="00614C45"/>
    <w:rsid w:val="0062286A"/>
    <w:rsid w:val="00637ED7"/>
    <w:rsid w:val="0065444D"/>
    <w:rsid w:val="0065590B"/>
    <w:rsid w:val="00656041"/>
    <w:rsid w:val="00671162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6E5"/>
    <w:rsid w:val="006D59A5"/>
    <w:rsid w:val="006D6F8A"/>
    <w:rsid w:val="006E7B33"/>
    <w:rsid w:val="00702996"/>
    <w:rsid w:val="007054B7"/>
    <w:rsid w:val="00706E1E"/>
    <w:rsid w:val="00710C3E"/>
    <w:rsid w:val="00710FFB"/>
    <w:rsid w:val="00714324"/>
    <w:rsid w:val="00715407"/>
    <w:rsid w:val="00731048"/>
    <w:rsid w:val="0076656D"/>
    <w:rsid w:val="00772243"/>
    <w:rsid w:val="007A29E9"/>
    <w:rsid w:val="007A2AE8"/>
    <w:rsid w:val="007A3AAF"/>
    <w:rsid w:val="007A4987"/>
    <w:rsid w:val="007B4AFF"/>
    <w:rsid w:val="007C682E"/>
    <w:rsid w:val="007D0FD5"/>
    <w:rsid w:val="007D1169"/>
    <w:rsid w:val="007D3790"/>
    <w:rsid w:val="007E7D9E"/>
    <w:rsid w:val="007F184F"/>
    <w:rsid w:val="007F6FBF"/>
    <w:rsid w:val="00802DCC"/>
    <w:rsid w:val="008052BF"/>
    <w:rsid w:val="00822077"/>
    <w:rsid w:val="00825671"/>
    <w:rsid w:val="00825E05"/>
    <w:rsid w:val="00832659"/>
    <w:rsid w:val="00833F42"/>
    <w:rsid w:val="0083509B"/>
    <w:rsid w:val="008350A1"/>
    <w:rsid w:val="00835754"/>
    <w:rsid w:val="00863526"/>
    <w:rsid w:val="00865A92"/>
    <w:rsid w:val="0087779B"/>
    <w:rsid w:val="00877B11"/>
    <w:rsid w:val="008818EE"/>
    <w:rsid w:val="0088523F"/>
    <w:rsid w:val="008A2A7D"/>
    <w:rsid w:val="008A3EE7"/>
    <w:rsid w:val="008D009D"/>
    <w:rsid w:val="008D7161"/>
    <w:rsid w:val="008E134D"/>
    <w:rsid w:val="008E7DA1"/>
    <w:rsid w:val="008F3C22"/>
    <w:rsid w:val="00911598"/>
    <w:rsid w:val="00934C2D"/>
    <w:rsid w:val="00944BE5"/>
    <w:rsid w:val="009537B0"/>
    <w:rsid w:val="00965B60"/>
    <w:rsid w:val="00966217"/>
    <w:rsid w:val="00971CDD"/>
    <w:rsid w:val="009870D5"/>
    <w:rsid w:val="009A7E97"/>
    <w:rsid w:val="009C0EE1"/>
    <w:rsid w:val="009D56EA"/>
    <w:rsid w:val="009D6B57"/>
    <w:rsid w:val="009E4197"/>
    <w:rsid w:val="009E486A"/>
    <w:rsid w:val="009F4D9C"/>
    <w:rsid w:val="009F4F80"/>
    <w:rsid w:val="00A01F37"/>
    <w:rsid w:val="00A026E8"/>
    <w:rsid w:val="00A05DF7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A244C"/>
    <w:rsid w:val="00AA2B34"/>
    <w:rsid w:val="00AB07EA"/>
    <w:rsid w:val="00AB1B4F"/>
    <w:rsid w:val="00B03C69"/>
    <w:rsid w:val="00B04F84"/>
    <w:rsid w:val="00B0546A"/>
    <w:rsid w:val="00B105CA"/>
    <w:rsid w:val="00B1171B"/>
    <w:rsid w:val="00B20067"/>
    <w:rsid w:val="00B20A05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9E5"/>
    <w:rsid w:val="00BA56A4"/>
    <w:rsid w:val="00BB5E63"/>
    <w:rsid w:val="00BD5DB3"/>
    <w:rsid w:val="00BE44A0"/>
    <w:rsid w:val="00BE5916"/>
    <w:rsid w:val="00BE7876"/>
    <w:rsid w:val="00BF2805"/>
    <w:rsid w:val="00C019AA"/>
    <w:rsid w:val="00C01FAB"/>
    <w:rsid w:val="00C05E14"/>
    <w:rsid w:val="00C124BB"/>
    <w:rsid w:val="00C16A07"/>
    <w:rsid w:val="00C21578"/>
    <w:rsid w:val="00C30B74"/>
    <w:rsid w:val="00C43A63"/>
    <w:rsid w:val="00C52B67"/>
    <w:rsid w:val="00C62725"/>
    <w:rsid w:val="00C635A9"/>
    <w:rsid w:val="00C77D84"/>
    <w:rsid w:val="00CA0FF9"/>
    <w:rsid w:val="00CA169B"/>
    <w:rsid w:val="00CA1A3E"/>
    <w:rsid w:val="00CA25AC"/>
    <w:rsid w:val="00CB142A"/>
    <w:rsid w:val="00CC0911"/>
    <w:rsid w:val="00CC22E1"/>
    <w:rsid w:val="00CC3416"/>
    <w:rsid w:val="00CE0C40"/>
    <w:rsid w:val="00CF7FD1"/>
    <w:rsid w:val="00D04A84"/>
    <w:rsid w:val="00D10BE8"/>
    <w:rsid w:val="00D2164C"/>
    <w:rsid w:val="00D27F7A"/>
    <w:rsid w:val="00D44201"/>
    <w:rsid w:val="00D4436A"/>
    <w:rsid w:val="00D44730"/>
    <w:rsid w:val="00D53CA6"/>
    <w:rsid w:val="00D565C7"/>
    <w:rsid w:val="00D72D7A"/>
    <w:rsid w:val="00D734E5"/>
    <w:rsid w:val="00D749B0"/>
    <w:rsid w:val="00DA22B5"/>
    <w:rsid w:val="00DA469F"/>
    <w:rsid w:val="00DB0218"/>
    <w:rsid w:val="00DB3209"/>
    <w:rsid w:val="00DB40EF"/>
    <w:rsid w:val="00DC1F1C"/>
    <w:rsid w:val="00DC3D2D"/>
    <w:rsid w:val="00DD1CD0"/>
    <w:rsid w:val="00DD7BCA"/>
    <w:rsid w:val="00DE6435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635B9"/>
    <w:rsid w:val="00E73466"/>
    <w:rsid w:val="00E84067"/>
    <w:rsid w:val="00EA0795"/>
    <w:rsid w:val="00EA65F8"/>
    <w:rsid w:val="00EB4046"/>
    <w:rsid w:val="00EB5621"/>
    <w:rsid w:val="00EB6E35"/>
    <w:rsid w:val="00EF320D"/>
    <w:rsid w:val="00EF5FD6"/>
    <w:rsid w:val="00EF630C"/>
    <w:rsid w:val="00F02CB3"/>
    <w:rsid w:val="00F03B24"/>
    <w:rsid w:val="00F04FE3"/>
    <w:rsid w:val="00F12CDA"/>
    <w:rsid w:val="00F1372F"/>
    <w:rsid w:val="00F15B51"/>
    <w:rsid w:val="00F2361B"/>
    <w:rsid w:val="00F457F0"/>
    <w:rsid w:val="00F4588D"/>
    <w:rsid w:val="00F82934"/>
    <w:rsid w:val="00F963C6"/>
    <w:rsid w:val="00FA62DA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nas.org/content/74/12/5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5B88-09F0-44F7-8980-C2A1CE62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421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293</cp:revision>
  <dcterms:created xsi:type="dcterms:W3CDTF">2011-01-15T23:01:00Z</dcterms:created>
  <dcterms:modified xsi:type="dcterms:W3CDTF">2019-01-30T18:26:00Z</dcterms:modified>
</cp:coreProperties>
</file>