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SOCI-E114</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tl w:val="0"/>
        </w:rPr>
        <w:t xml:space="preserve">FAKE NEWS AND EXTREMISM:</w:t>
      </w:r>
      <w:r w:rsidDel="00000000" w:rsidR="00000000" w:rsidRPr="00000000">
        <w:rPr>
          <w:rtl w:val="0"/>
        </w:rPr>
      </w:r>
    </w:p>
    <w:p w:rsidR="00000000" w:rsidDel="00000000" w:rsidP="00000000" w:rsidRDefault="00000000" w:rsidRPr="00000000" w14:paraId="00000004">
      <w:pPr>
        <w:jc w:val="center"/>
        <w:rPr/>
      </w:pPr>
      <w:r w:rsidDel="00000000" w:rsidR="00000000" w:rsidRPr="00000000">
        <w:rPr>
          <w:b w:val="1"/>
          <w:rtl w:val="0"/>
        </w:rPr>
        <w:t xml:space="preserve">PROPAGANDA AND FANATICS IN HISTORY AND IN THE PRESENT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1"/>
        <w:rPr/>
      </w:pPr>
      <w:r w:rsidDel="00000000" w:rsidR="00000000" w:rsidRPr="00000000">
        <w:rPr>
          <w:rtl w:val="0"/>
        </w:rPr>
        <w:t xml:space="preserve">Spring 2022</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t xml:space="preserve">Live Zoom Lecture Time: Wednesdays, 2-4 pm</w:t>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t xml:space="preserve">Live Zoom Section Time: Rotating</w:t>
      </w:r>
    </w:p>
    <w:p w:rsidR="00000000" w:rsidDel="00000000" w:rsidP="00000000" w:rsidRDefault="00000000" w:rsidRPr="00000000" w14:paraId="0000000B">
      <w:pPr>
        <w:jc w:val="center"/>
        <w:rPr/>
      </w:pPr>
      <w:r w:rsidDel="00000000" w:rsidR="00000000" w:rsidRPr="00000000">
        <w:rPr>
          <w:rtl w:val="0"/>
        </w:rPr>
        <w:t xml:space="preserve">Week A: Thursday, 6:30 - 7:30 pm (01.27, 02.17, 03.10, 03.31, 04.21, 05.12)</w:t>
      </w:r>
    </w:p>
    <w:p w:rsidR="00000000" w:rsidDel="00000000" w:rsidP="00000000" w:rsidRDefault="00000000" w:rsidRPr="00000000" w14:paraId="0000000C">
      <w:pPr>
        <w:jc w:val="center"/>
        <w:rPr/>
      </w:pPr>
      <w:r w:rsidDel="00000000" w:rsidR="00000000" w:rsidRPr="00000000">
        <w:rPr>
          <w:rtl w:val="0"/>
        </w:rPr>
        <w:t xml:space="preserve">Week B: Fridays, 10:00 - 11:00 am (02.04, 02.25, 04.08, 04.29)</w:t>
      </w:r>
    </w:p>
    <w:p w:rsidR="00000000" w:rsidDel="00000000" w:rsidP="00000000" w:rsidRDefault="00000000" w:rsidRPr="00000000" w14:paraId="0000000D">
      <w:pPr>
        <w:jc w:val="center"/>
        <w:rPr>
          <w:i w:val="1"/>
        </w:rPr>
      </w:pPr>
      <w:r w:rsidDel="00000000" w:rsidR="00000000" w:rsidRPr="00000000">
        <w:rPr>
          <w:rtl w:val="0"/>
        </w:rPr>
        <w:t xml:space="preserve">Week C: Mondays 1:00 - 2:00 pm (02.07, 02.28, 03.21, 04.11, 05.02)</w:t>
      </w:r>
      <w:r w:rsidDel="00000000" w:rsidR="00000000" w:rsidRPr="00000000">
        <w:rPr>
          <w:rtl w:val="0"/>
        </w:rPr>
      </w:r>
    </w:p>
    <w:p w:rsidR="00000000" w:rsidDel="00000000" w:rsidP="00000000" w:rsidRDefault="00000000" w:rsidRPr="00000000" w14:paraId="0000000E">
      <w:pPr>
        <w:jc w:val="center"/>
        <w:rPr>
          <w:u w:val="single"/>
        </w:rPr>
      </w:pPr>
      <w:r w:rsidDel="00000000" w:rsidR="00000000" w:rsidRPr="00000000">
        <w:rPr>
          <w:rtl w:val="0"/>
        </w:rPr>
      </w:r>
    </w:p>
    <w:p w:rsidR="00000000" w:rsidDel="00000000" w:rsidP="00000000" w:rsidRDefault="00000000" w:rsidRPr="00000000" w14:paraId="0000000F">
      <w:pPr>
        <w:jc w:val="center"/>
        <w:rPr>
          <w:b w:val="1"/>
          <w:u w:val="single"/>
        </w:rPr>
      </w:pPr>
      <w:r w:rsidDel="00000000" w:rsidR="00000000" w:rsidRPr="00000000">
        <w:rPr>
          <w:b w:val="1"/>
          <w:u w:val="single"/>
          <w:rtl w:val="0"/>
        </w:rPr>
        <w:t xml:space="preserve">Professors:</w:t>
      </w:r>
    </w:p>
    <w:p w:rsidR="00000000" w:rsidDel="00000000" w:rsidP="00000000" w:rsidRDefault="00000000" w:rsidRPr="00000000" w14:paraId="00000010">
      <w:pPr>
        <w:jc w:val="center"/>
        <w:rPr>
          <w:u w:val="single"/>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t xml:space="preserve">Danilo Mandić</w:t>
      </w:r>
    </w:p>
    <w:p w:rsidR="00000000" w:rsidDel="00000000" w:rsidP="00000000" w:rsidRDefault="00000000" w:rsidRPr="00000000" w14:paraId="00000012">
      <w:pPr>
        <w:jc w:val="center"/>
        <w:rPr/>
      </w:pPr>
      <w:hyperlink r:id="rId6">
        <w:r w:rsidDel="00000000" w:rsidR="00000000" w:rsidRPr="00000000">
          <w:rPr>
            <w:color w:val="000000"/>
            <w:u w:val="single"/>
            <w:rtl w:val="0"/>
          </w:rPr>
          <w:t xml:space="preserve">mandic@fas.harvard.edu</w:t>
        </w:r>
      </w:hyperlink>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bookmarkStart w:colFirst="0" w:colLast="0" w:name="_gjdgxs" w:id="0"/>
      <w:bookmarkEnd w:id="0"/>
      <w:r w:rsidDel="00000000" w:rsidR="00000000" w:rsidRPr="00000000">
        <w:rPr>
          <w:rtl w:val="0"/>
        </w:rPr>
        <w:t xml:space="preserve">Vladimir Petrović</w:t>
      </w:r>
    </w:p>
    <w:p w:rsidR="00000000" w:rsidDel="00000000" w:rsidP="00000000" w:rsidRDefault="00000000" w:rsidRPr="00000000" w14:paraId="00000015">
      <w:pPr>
        <w:jc w:val="center"/>
        <w:rPr/>
      </w:pPr>
      <w:hyperlink r:id="rId7">
        <w:r w:rsidDel="00000000" w:rsidR="00000000" w:rsidRPr="00000000">
          <w:rPr>
            <w:color w:val="000000"/>
            <w:u w:val="single"/>
            <w:rtl w:val="0"/>
          </w:rPr>
          <w:t xml:space="preserve">vpetrovic@g.harvard.edu</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center"/>
        <w:rPr>
          <w:b w:val="1"/>
          <w:u w:val="single"/>
        </w:rPr>
      </w:pPr>
      <w:r w:rsidDel="00000000" w:rsidR="00000000" w:rsidRPr="00000000">
        <w:rPr>
          <w:b w:val="1"/>
          <w:u w:val="single"/>
          <w:rtl w:val="0"/>
        </w:rPr>
        <w:t xml:space="preserve">Teaching Fellow:</w:t>
      </w:r>
    </w:p>
    <w:p w:rsidR="00000000" w:rsidDel="00000000" w:rsidP="00000000" w:rsidRDefault="00000000" w:rsidRPr="00000000" w14:paraId="00000018">
      <w:pPr>
        <w:jc w:val="center"/>
        <w:rPr>
          <w:u w:val="single"/>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rtl w:val="0"/>
        </w:rPr>
        <w:t xml:space="preserve">Jake Burley</w:t>
      </w:r>
    </w:p>
    <w:p w:rsidR="00000000" w:rsidDel="00000000" w:rsidP="00000000" w:rsidRDefault="00000000" w:rsidRPr="00000000" w14:paraId="0000001A">
      <w:pPr>
        <w:jc w:val="center"/>
        <w:rPr>
          <w:u w:val="single"/>
        </w:rPr>
      </w:pPr>
      <w:r w:rsidDel="00000000" w:rsidR="00000000" w:rsidRPr="00000000">
        <w:rPr>
          <w:u w:val="single"/>
          <w:rtl w:val="0"/>
        </w:rPr>
        <w:t xml:space="preserve">Jacob.Burley001@umb.edu</w:t>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Office Hours: </w:t>
      </w:r>
    </w:p>
    <w:p w:rsidR="00000000" w:rsidDel="00000000" w:rsidP="00000000" w:rsidRDefault="00000000" w:rsidRPr="00000000" w14:paraId="0000001D">
      <w:pPr>
        <w:jc w:val="center"/>
        <w:rPr/>
      </w:pPr>
      <w:r w:rsidDel="00000000" w:rsidR="00000000" w:rsidRPr="00000000">
        <w:rPr>
          <w:rtl w:val="0"/>
        </w:rPr>
        <w:t xml:space="preserve">Mondays, 6:30 - 7:30pm or by appointment. </w:t>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u w:val="single"/>
        </w:rPr>
      </w:pPr>
      <w:r w:rsidDel="00000000" w:rsidR="00000000" w:rsidRPr="00000000">
        <w:rPr>
          <w:rtl w:val="0"/>
        </w:rPr>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jc w:val="center"/>
        <w:rPr>
          <w:u w:val="single"/>
        </w:rPr>
      </w:pPr>
      <w:r w:rsidDel="00000000" w:rsidR="00000000" w:rsidRPr="00000000">
        <w:rPr>
          <w:u w:val="single"/>
          <w:rtl w:val="0"/>
        </w:rPr>
        <w:t xml:space="preserve">Course Abstract</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between w:space="0" w:sz="0" w:val="nil"/>
        </w:pBdr>
        <w:rPr>
          <w:color w:val="000000"/>
        </w:rPr>
      </w:pPr>
      <w:r w:rsidDel="00000000" w:rsidR="00000000" w:rsidRPr="00000000">
        <w:rPr>
          <w:rtl w:val="0"/>
        </w:rPr>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between w:space="0" w:sz="0" w:val="nil"/>
        </w:pBdr>
        <w:jc w:val="both"/>
        <w:rPr>
          <w:color w:val="000000"/>
          <w:sz w:val="22"/>
          <w:szCs w:val="22"/>
        </w:rPr>
      </w:pPr>
      <w:r w:rsidDel="00000000" w:rsidR="00000000" w:rsidRPr="00000000">
        <w:rPr>
          <w:color w:val="000000"/>
          <w:sz w:val="22"/>
          <w:szCs w:val="22"/>
          <w:rtl w:val="0"/>
        </w:rPr>
        <w:t xml:space="preserve">Why do millions of people come to believe obvious lies? What motivates extremist violence? How can we convince a fanatic not to be fanatical? This course offers a social scientific overview of extremism and propaganda in human history and society. Using historical case studies and social scientific analyses, students will become aware of major patterns of how fanatical groups and movements emerge, how extremists come to power, to which ends extremists strive, what the role of propaganda in belief-formation and action is, and how violent means are justified. The course examines the extreme fringes of politics - from medieval crusades and inquisition to contemporary terrorism and persecution. It takes us from the horrors of early modern religious wars to ideological and ethnic violence, the Holocaust and post-Cold War mass atrocities. Political violence in the name of race, religion, empire, class, or ethnicity and weaponization of these concepts is examined in historical and comparative perspective. Techniques of its legitimization are given particular attention, including discrimination, stereotyping, scapegoating, dehumanization and the dissemination of fake news. As they reflect on the roots and causes of extremist politics, students are also asked to reexamine the assets and liabilities of contemporary media and democratic deficit in our world. The course concludes with historical lessons and policy recommendations aimed at breaking the cycle of extremism. </w:t>
      </w:r>
      <w:r w:rsidDel="00000000" w:rsidR="00000000" w:rsidRPr="00000000">
        <w:rPr>
          <w:color w:val="000000"/>
          <w:rtl w:val="0"/>
        </w:rPr>
        <w:tab/>
        <w:tab/>
        <w:tab/>
        <w:tab/>
        <w:tab/>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i w:val="1"/>
          <w:rtl w:val="0"/>
        </w:rPr>
        <w:t xml:space="preserve">Course Requirements</w:t>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360" w:firstLine="0"/>
        <w:rPr/>
      </w:pPr>
      <w:r w:rsidDel="00000000" w:rsidR="00000000" w:rsidRPr="00000000">
        <w:rPr>
          <w:rtl w:val="0"/>
        </w:rPr>
        <w:t xml:space="preserve">Live Zoom Lecture Attendance (</w:t>
      </w:r>
      <w:r w:rsidDel="00000000" w:rsidR="00000000" w:rsidRPr="00000000">
        <w:rPr>
          <w:u w:val="single"/>
          <w:rtl w:val="0"/>
        </w:rPr>
        <w:t xml:space="preserve">Mandatory</w:t>
      </w:r>
      <w:r w:rsidDel="00000000" w:rsidR="00000000" w:rsidRPr="00000000">
        <w:rPr>
          <w:rtl w:val="0"/>
        </w:rPr>
        <w:t xml:space="preserve">)</w:t>
        <w:tab/>
        <w:t xml:space="preserve"> </w:t>
        <w:tab/>
        <w:tab/>
      </w:r>
      <w:r w:rsidDel="00000000" w:rsidR="00000000" w:rsidRPr="00000000">
        <w:rPr>
          <w:b w:val="1"/>
          <w:rtl w:val="0"/>
        </w:rPr>
        <w:t xml:space="preserve">(15%)</w:t>
      </w:r>
      <w:r w:rsidDel="00000000" w:rsidR="00000000" w:rsidRPr="00000000">
        <w:rPr>
          <w:rtl w:val="0"/>
        </w:rPr>
        <w:t xml:space="preserve">  </w:t>
      </w:r>
    </w:p>
    <w:p w:rsidR="00000000" w:rsidDel="00000000" w:rsidP="00000000" w:rsidRDefault="00000000" w:rsidRPr="00000000" w14:paraId="00000027">
      <w:pPr>
        <w:ind w:left="360" w:firstLine="0"/>
        <w:rPr/>
      </w:pPr>
      <w:r w:rsidDel="00000000" w:rsidR="00000000" w:rsidRPr="00000000">
        <w:rPr>
          <w:rtl w:val="0"/>
        </w:rPr>
        <w:t xml:space="preserve">Live Zoom Section (</w:t>
      </w:r>
      <w:r w:rsidDel="00000000" w:rsidR="00000000" w:rsidRPr="00000000">
        <w:rPr>
          <w:u w:val="single"/>
          <w:rtl w:val="0"/>
        </w:rPr>
        <w:t xml:space="preserve">Mandatory)</w:t>
      </w:r>
      <w:r w:rsidDel="00000000" w:rsidR="00000000" w:rsidRPr="00000000">
        <w:rPr>
          <w:rtl w:val="0"/>
        </w:rPr>
        <w:tab/>
        <w:t xml:space="preserve"> </w:t>
        <w:tab/>
        <w:tab/>
        <w:tab/>
        <w:t xml:space="preserve">            </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28">
      <w:pPr>
        <w:ind w:left="360" w:firstLine="0"/>
        <w:rPr/>
      </w:pPr>
      <w:r w:rsidDel="00000000" w:rsidR="00000000" w:rsidRPr="00000000">
        <w:rPr>
          <w:rtl w:val="0"/>
        </w:rPr>
        <w:t xml:space="preserve">Responses &amp; Discussion Board                                                    </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29">
      <w:pPr>
        <w:ind w:left="360" w:firstLine="0"/>
        <w:rPr/>
      </w:pPr>
      <w:r w:rsidDel="00000000" w:rsidR="00000000" w:rsidRPr="00000000">
        <w:rPr>
          <w:rtl w:val="0"/>
        </w:rPr>
        <w:t xml:space="preserve">Midterm Paper</w:t>
        <w:tab/>
        <w:tab/>
        <w:tab/>
        <w:tab/>
        <w:t xml:space="preserve"> </w:t>
        <w:tab/>
        <w:t xml:space="preserve">                        </w:t>
      </w:r>
      <w:r w:rsidDel="00000000" w:rsidR="00000000" w:rsidRPr="00000000">
        <w:rPr>
          <w:b w:val="1"/>
          <w:rtl w:val="0"/>
        </w:rPr>
        <w:t xml:space="preserve">(20%)</w:t>
      </w:r>
      <w:r w:rsidDel="00000000" w:rsidR="00000000" w:rsidRPr="00000000">
        <w:rPr>
          <w:rtl w:val="0"/>
        </w:rPr>
      </w:r>
    </w:p>
    <w:p w:rsidR="00000000" w:rsidDel="00000000" w:rsidP="00000000" w:rsidRDefault="00000000" w:rsidRPr="00000000" w14:paraId="0000002A">
      <w:pPr>
        <w:ind w:left="360" w:firstLine="0"/>
        <w:rPr/>
      </w:pPr>
      <w:r w:rsidDel="00000000" w:rsidR="00000000" w:rsidRPr="00000000">
        <w:rPr>
          <w:rtl w:val="0"/>
        </w:rPr>
        <w:t xml:space="preserve">Final Paper</w:t>
        <w:tab/>
        <w:tab/>
        <w:tab/>
        <w:tab/>
        <w:tab/>
        <w:tab/>
        <w:tab/>
      </w:r>
      <w:r w:rsidDel="00000000" w:rsidR="00000000" w:rsidRPr="00000000">
        <w:rPr>
          <w:b w:val="1"/>
          <w:rtl w:val="0"/>
        </w:rPr>
        <w:t xml:space="preserve">(25%)</w:t>
      </w:r>
      <w:r w:rsidDel="00000000" w:rsidR="00000000" w:rsidRPr="00000000">
        <w:rPr>
          <w:rtl w:val="0"/>
        </w:rPr>
      </w:r>
    </w:p>
    <w:p w:rsidR="00000000" w:rsidDel="00000000" w:rsidP="00000000" w:rsidRDefault="00000000" w:rsidRPr="00000000" w14:paraId="0000002B">
      <w:pPr>
        <w:jc w:val="cente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u w:val="single"/>
          <w:rtl w:val="0"/>
        </w:rPr>
        <w:t xml:space="preserve">Lectures &amp; Reading:</w:t>
      </w:r>
      <w:r w:rsidDel="00000000" w:rsidR="00000000" w:rsidRPr="00000000">
        <w:rPr>
          <w:rtl w:val="0"/>
        </w:rPr>
        <w:t xml:space="preserve"> Students are required to attend synchronous zoom </w:t>
      </w:r>
      <w:r w:rsidDel="00000000" w:rsidR="00000000" w:rsidRPr="00000000">
        <w:rPr>
          <w:b w:val="1"/>
          <w:rtl w:val="0"/>
        </w:rPr>
        <w:t xml:space="preserve">lectures</w:t>
      </w:r>
      <w:r w:rsidDel="00000000" w:rsidR="00000000" w:rsidRPr="00000000">
        <w:rPr>
          <w:rtl w:val="0"/>
        </w:rPr>
        <w:t xml:space="preserve"> once a week. Reading certain weeks will have </w:t>
      </w:r>
      <w:r w:rsidDel="00000000" w:rsidR="00000000" w:rsidRPr="00000000">
        <w:rPr>
          <w:b w:val="1"/>
          <w:rtl w:val="0"/>
        </w:rPr>
        <w:t xml:space="preserve">recommended readings </w:t>
      </w:r>
      <w:r w:rsidDel="00000000" w:rsidR="00000000" w:rsidRPr="00000000">
        <w:rPr>
          <w:rtl w:val="0"/>
        </w:rPr>
        <w:t xml:space="preserve">assigned. Students are encouraged – but not required – to go over these.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u w:val="single"/>
          <w:rtl w:val="0"/>
        </w:rPr>
        <w:t xml:space="preserve">Responses &amp; Discussion Board</w:t>
      </w:r>
      <w:r w:rsidDel="00000000" w:rsidR="00000000" w:rsidRPr="00000000">
        <w:rPr>
          <w:b w:val="1"/>
          <w:u w:val="single"/>
          <w:rtl w:val="0"/>
        </w:rPr>
        <w:t xml:space="preserve">:</w:t>
      </w:r>
      <w:r w:rsidDel="00000000" w:rsidR="00000000" w:rsidRPr="00000000">
        <w:rPr>
          <w:b w:val="1"/>
          <w:rtl w:val="0"/>
        </w:rPr>
        <w:t xml:space="preserve"> </w:t>
      </w:r>
      <w:r w:rsidDel="00000000" w:rsidR="00000000" w:rsidRPr="00000000">
        <w:rPr>
          <w:rtl w:val="0"/>
        </w:rPr>
        <w:t xml:space="preserve">Students will be required to complete </w:t>
      </w:r>
      <w:r w:rsidDel="00000000" w:rsidR="00000000" w:rsidRPr="00000000">
        <w:rPr>
          <w:b w:val="1"/>
          <w:rtl w:val="0"/>
        </w:rPr>
        <w:t xml:space="preserve">four</w:t>
      </w:r>
      <w:r w:rsidDel="00000000" w:rsidR="00000000" w:rsidRPr="00000000">
        <w:rPr>
          <w:rtl w:val="0"/>
        </w:rPr>
        <w:t xml:space="preserve"> short responses (1-2 paragraphs) </w:t>
      </w:r>
      <w:r w:rsidDel="00000000" w:rsidR="00000000" w:rsidRPr="00000000">
        <w:rPr>
          <w:b w:val="1"/>
          <w:rtl w:val="0"/>
        </w:rPr>
        <w:t xml:space="preserve">over the first 8 weeks of the semester</w:t>
      </w:r>
      <w:r w:rsidDel="00000000" w:rsidR="00000000" w:rsidRPr="00000000">
        <w:rPr>
          <w:rtl w:val="0"/>
        </w:rPr>
        <w:t xml:space="preserve"> that address something in the readings they found surprising, inconsistent, revelatory, or controversial. Responses are expected to be analytical, logical, and rooted in the readings. Students are also encouraged (but not required) to respectfully and productively comment on the responses of their colleagues. Participation in the discussion board will be considered as a bonus to the Response and Section Participation portion of a student's grade. </w:t>
      </w:r>
    </w:p>
    <w:p w:rsidR="00000000" w:rsidDel="00000000" w:rsidP="00000000" w:rsidRDefault="00000000" w:rsidRPr="00000000" w14:paraId="00000031">
      <w:pPr>
        <w:rPr/>
      </w:pPr>
      <w:r w:rsidDel="00000000" w:rsidR="00000000" w:rsidRPr="00000000">
        <w:rPr>
          <w:rtl w:val="0"/>
        </w:rPr>
        <w:t xml:space="preserve"> </w:t>
      </w:r>
    </w:p>
    <w:p w:rsidR="00000000" w:rsidDel="00000000" w:rsidP="00000000" w:rsidRDefault="00000000" w:rsidRPr="00000000" w14:paraId="00000032">
      <w:pPr>
        <w:rPr/>
      </w:pPr>
      <w:r w:rsidDel="00000000" w:rsidR="00000000" w:rsidRPr="00000000">
        <w:rPr>
          <w:u w:val="single"/>
          <w:rtl w:val="0"/>
        </w:rPr>
        <w:t xml:space="preserve">Discussion Sections:</w:t>
      </w:r>
      <w:r w:rsidDel="00000000" w:rsidR="00000000" w:rsidRPr="00000000">
        <w:rPr>
          <w:rtl w:val="0"/>
        </w:rPr>
        <w:t xml:space="preserve"> Discussion sections will be held once a week on a rotating schedule to best capture student availability. Students are expected to attend a minimum of </w:t>
      </w:r>
      <w:r w:rsidDel="00000000" w:rsidR="00000000" w:rsidRPr="00000000">
        <w:rPr>
          <w:b w:val="1"/>
          <w:rtl w:val="0"/>
        </w:rPr>
        <w:t xml:space="preserve">eight</w:t>
      </w:r>
      <w:r w:rsidDel="00000000" w:rsidR="00000000" w:rsidRPr="00000000">
        <w:rPr>
          <w:rtl w:val="0"/>
        </w:rPr>
        <w:t xml:space="preserve"> sections over the course of the semester and contribute to the sections which they attend. Your contribution does not depend only on the frequency of your comments, but rather their quality - the ability to draw on course materials and your own experience productively, the ability to advance or sharpen in-class discussion and debate, the willingness to take risky or unpopular points of view, the use of logic, precision, and evidence in making argument. Comments that move the group discussion forward or that offer fresh insights or thoughtfully unique approaches to the material are the most valuable.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u w:val="single"/>
          <w:rtl w:val="0"/>
        </w:rPr>
        <w:t xml:space="preserve">Midterm &amp; Final Paper:</w:t>
      </w:r>
      <w:r w:rsidDel="00000000" w:rsidR="00000000" w:rsidRPr="00000000">
        <w:rPr>
          <w:rtl w:val="0"/>
        </w:rPr>
        <w:t xml:space="preserve"> The course will conclude with a Final Paper (10-12 pages) on a case study of extremism that the students select. Students will offer an explanatory argument addressing a clear, narrow research question, applying readings from at least three separate weeks (e.g. Week 4, Week 7 and Week 10). In preparation for the final paper, students will be required to submit a Midterm Paper (2-4 pages) which will serve as an outline and draft of their final assignment. Midterm papers should offer a potential research question as well as a prospective thesis and include material from at least two separate weeks. Midterm papers should also provide a rough, skeletal outline of the final paper.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rPr>
          <w:b w:val="1"/>
          <w:color w:val="000000"/>
        </w:rPr>
      </w:pPr>
      <w:r w:rsidDel="00000000" w:rsidR="00000000" w:rsidRPr="00000000">
        <w:rPr>
          <w:b w:val="1"/>
          <w:color w:val="000000"/>
          <w:rtl w:val="0"/>
        </w:rPr>
        <w:t xml:space="preserve">N.B. For </w:t>
      </w:r>
      <w:r w:rsidDel="00000000" w:rsidR="00000000" w:rsidRPr="00000000">
        <w:rPr>
          <w:b w:val="1"/>
          <w:color w:val="000000"/>
          <w:u w:val="single"/>
          <w:rtl w:val="0"/>
        </w:rPr>
        <w:t xml:space="preserve">graduate-level credit</w:t>
      </w:r>
      <w:r w:rsidDel="00000000" w:rsidR="00000000" w:rsidRPr="00000000">
        <w:rPr>
          <w:b w:val="1"/>
          <w:color w:val="000000"/>
          <w:rtl w:val="0"/>
        </w:rPr>
        <w:t xml:space="preserve">, students will produce a longer final project. Topic and scope should be approved mid-semester, and in consultation with the course heads.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jc w:val="center"/>
        <w:rPr/>
      </w:pPr>
      <w:r w:rsidDel="00000000" w:rsidR="00000000" w:rsidRPr="00000000">
        <w:rPr>
          <w:i w:val="1"/>
          <w:rtl w:val="0"/>
        </w:rPr>
        <w:t xml:space="preserve">Late Policy for Deadlines</w:t>
      </w:r>
      <w:r w:rsidDel="00000000" w:rsidR="00000000" w:rsidRPr="00000000">
        <w:rPr>
          <w:rtl w:val="0"/>
        </w:rPr>
      </w:r>
    </w:p>
    <w:p w:rsidR="00000000" w:rsidDel="00000000" w:rsidP="00000000" w:rsidRDefault="00000000" w:rsidRPr="00000000" w14:paraId="00000039">
      <w:pPr>
        <w:jc w:val="cente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One partial grade will be deducted from papers and weekly responses that are turned in late (for example, an A- paper would be given a B+).  Another partial grade will be taken off for each additional 24 hours of tardiness. Extensions will be given in the case of medical emergencies or religious observance. </w:t>
      </w:r>
      <w:r w:rsidDel="00000000" w:rsidR="00000000" w:rsidRPr="00000000">
        <w:rPr>
          <w:b w:val="1"/>
          <w:rtl w:val="0"/>
        </w:rPr>
        <w:t xml:space="preserve"> All requests for extensions should go directly to the course head and must be made in advance of the relevant deadline.</w:t>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jc w:val="center"/>
        <w:rPr>
          <w:color w:val="000000"/>
        </w:rPr>
      </w:pPr>
      <w:r w:rsidDel="00000000" w:rsidR="00000000" w:rsidRPr="00000000">
        <w:rPr>
          <w:i w:val="1"/>
          <w:color w:val="000000"/>
          <w:rtl w:val="0"/>
        </w:rPr>
        <w:t xml:space="preserve">Accommodation Requests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Harvard Extension School is committed to providing an inclusive, accessible academic community for students with disabilities and chronic health conditions. The Accessibility Services Office (ASO) (</w:t>
      </w:r>
      <w:hyperlink r:id="rId8">
        <w:r w:rsidDel="00000000" w:rsidR="00000000" w:rsidRPr="00000000">
          <w:rPr>
            <w:color w:val="0000ff"/>
            <w:u w:val="single"/>
            <w:rtl w:val="0"/>
          </w:rPr>
          <w:t xml:space="preserve">https://extension.harvard.edu/for-students/support-and-services/accessibility-services/</w:t>
        </w:r>
      </w:hyperlink>
      <w:r w:rsidDel="00000000" w:rsidR="00000000" w:rsidRPr="00000000">
        <w:rPr>
          <w:rtl w:val="0"/>
        </w:rPr>
        <w:t xml:space="preserve">) offers accommodations and support to students with documented disabilities. If you have a need for accommodations or adjustments, contact Accessibility Services directly via email at accessibility@extension.harvard.edu or by phone at 617-998-9640.</w:t>
      </w:r>
    </w:p>
    <w:p w:rsidR="00000000" w:rsidDel="00000000" w:rsidP="00000000" w:rsidRDefault="00000000" w:rsidRPr="00000000" w14:paraId="0000003F">
      <w:pPr>
        <w:tabs>
          <w:tab w:val="left" w:pos="2160"/>
        </w:tabs>
        <w:ind w:left="360" w:hanging="360"/>
        <w:rPr/>
      </w:pPr>
      <w:r w:rsidDel="00000000" w:rsidR="00000000" w:rsidRPr="00000000">
        <w:rPr>
          <w:rtl w:val="0"/>
        </w:rPr>
      </w:r>
    </w:p>
    <w:p w:rsidR="00000000" w:rsidDel="00000000" w:rsidP="00000000" w:rsidRDefault="00000000" w:rsidRPr="00000000" w14:paraId="00000040">
      <w:pPr>
        <w:tabs>
          <w:tab w:val="left" w:pos="2160"/>
        </w:tabs>
        <w:ind w:left="360" w:hanging="360"/>
        <w:jc w:val="center"/>
        <w:rPr/>
      </w:pPr>
      <w:r w:rsidDel="00000000" w:rsidR="00000000" w:rsidRPr="00000000">
        <w:rPr>
          <w:i w:val="1"/>
          <w:rtl w:val="0"/>
        </w:rPr>
        <w:t xml:space="preserve">Academic Integrity</w:t>
      </w:r>
      <w:r w:rsidDel="00000000" w:rsidR="00000000" w:rsidRPr="00000000">
        <w:rPr>
          <w:rtl w:val="0"/>
        </w:rPr>
      </w:r>
    </w:p>
    <w:p w:rsidR="00000000" w:rsidDel="00000000" w:rsidP="00000000" w:rsidRDefault="00000000" w:rsidRPr="00000000" w14:paraId="00000041">
      <w:pPr>
        <w:tabs>
          <w:tab w:val="left" w:pos="2160"/>
        </w:tabs>
        <w:ind w:left="360" w:hanging="360"/>
        <w:jc w:val="cente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You are responsible for understanding Harvard Extension School policies on academic integrity (</w:t>
      </w:r>
      <w:hyperlink r:id="rId9">
        <w:r w:rsidDel="00000000" w:rsidR="00000000" w:rsidRPr="00000000">
          <w:rPr>
            <w:color w:val="0000ff"/>
            <w:u w:val="single"/>
            <w:rtl w:val="0"/>
          </w:rPr>
          <w:t xml:space="preserve">https://extension.harvard.edu/for-students/student-policies-conduct/academic-integrity/</w:t>
        </w:r>
      </w:hyperlink>
      <w:r w:rsidDel="00000000" w:rsidR="00000000" w:rsidRPr="00000000">
        <w:rPr>
          <w:rtl w:val="0"/>
        </w:rPr>
        <w:t xml:space="preserve">) and how to use sources responsibly. Stated most broadly, academic integrity means that all course work submitted, whether a draft or a final version of a paper, project, take-home exam, online exam, computer program, oral presentation, or lab report, must be your own words and ideas, or the sources must be clearly acknowledged. The potential outcomes for violations of academic integrity are serious and ordinarily include all of the following: required withdrawal (RQ), which means a failing grade in the course (with no refund), the suspension of registration privileges, and a notation on your transcript.</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Using sources responsibly (</w:t>
      </w:r>
      <w:hyperlink r:id="rId10">
        <w:r w:rsidDel="00000000" w:rsidR="00000000" w:rsidRPr="00000000">
          <w:rPr>
            <w:color w:val="0000ff"/>
            <w:u w:val="single"/>
            <w:rtl w:val="0"/>
          </w:rPr>
          <w:t xml:space="preserve">https://extension.harvard.edu/for-students/support-and-services/using-sources-effectively-and-responsibly/</w:t>
        </w:r>
      </w:hyperlink>
      <w:r w:rsidDel="00000000" w:rsidR="00000000" w:rsidRPr="00000000">
        <w:rPr>
          <w:rtl w:val="0"/>
        </w:rPr>
        <w:t xml:space="preserve">) is an essential part of your Harvard education. We provide additional information about our expectations regarding academic integrity on our website. We invite you to review that information and to check your understanding of academic citation rules by completing two free online 15-minute tutorials that are also available on our site. (The tutorials are anonymous open-learning tools.)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jc w:val="center"/>
        <w:rPr>
          <w:color w:val="000000"/>
        </w:rPr>
      </w:pPr>
      <w:r w:rsidDel="00000000" w:rsidR="00000000" w:rsidRPr="00000000">
        <w:rPr>
          <w:i w:val="1"/>
          <w:color w:val="000000"/>
          <w:rtl w:val="0"/>
        </w:rPr>
        <w:t xml:space="preserve">Equity and Inclusion</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jc w:val="cente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jc w:val="both"/>
        <w:rPr>
          <w:color w:val="000000"/>
        </w:rPr>
      </w:pPr>
      <w:r w:rsidDel="00000000" w:rsidR="00000000" w:rsidRPr="00000000">
        <w:rPr>
          <w:color w:val="000000"/>
          <w:rtl w:val="0"/>
        </w:rPr>
        <w:t xml:space="preserve">We commit to make lectures and sections a precious venue where to learn, encounter different perspectives, and explore our emotional and intellectual response to the readings. We will create a community of dialogue where we exchange ideas and where everyone, further than participating, will train in taking care of others’ presence and participation. Therefore, paying attention to the fact that everyone has a chance to express their thoughts and -if not- considering in which ways -if any- we hinder them to do that, will be a relevant exercise. Learning and dialoguing could require a high level of exposure: we will collaborate in guaranteeing our class to be a safe place where disagreements and doubts are opportunities to learn. We won’t tolerate any shame/discriminatory/judging behaviors. </w:t>
      </w:r>
    </w:p>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color w:val="000000"/>
          <w:u w:val="single"/>
        </w:rPr>
      </w:pPr>
      <w:r w:rsidDel="00000000" w:rsidR="00000000" w:rsidRPr="00000000">
        <w:rPr>
          <w:color w:val="000000"/>
          <w:rtl w:val="0"/>
        </w:rPr>
        <w:t xml:space="preserve">Acknowledging that learning is a process that each of us navigate with a different pace, method, and style, we will listen to your concerns and proposals for particular accommodations. All discussions on accommodations will remain confidential. </w:t>
      </w:r>
      <w:r w:rsidDel="00000000" w:rsidR="00000000" w:rsidRPr="00000000">
        <w:rPr>
          <w:rtl w:val="0"/>
        </w:rPr>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jc w:val="center"/>
        <w:rPr>
          <w:color w:val="000000"/>
        </w:rPr>
      </w:pPr>
      <w:r w:rsidDel="00000000" w:rsidR="00000000" w:rsidRPr="00000000">
        <w:rPr>
          <w:i w:val="1"/>
          <w:color w:val="000000"/>
          <w:rtl w:val="0"/>
        </w:rPr>
        <w:t xml:space="preserve">Recommended Readings (Not Required)</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rPr>
          <w:color w:val="000000"/>
          <w:u w:val="single"/>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Danilo Mandic, </w:t>
      </w:r>
      <w:r w:rsidDel="00000000" w:rsidR="00000000" w:rsidRPr="00000000">
        <w:rPr>
          <w:i w:val="1"/>
          <w:color w:val="000000"/>
          <w:rtl w:val="0"/>
        </w:rPr>
        <w:t xml:space="preserve">Gangsters and Other Statesmen: Mafias, Separatists and Torn States in a</w:t>
        <w:tab/>
        <w:t xml:space="preserve">Globalized World</w:t>
      </w:r>
      <w:r w:rsidDel="00000000" w:rsidR="00000000" w:rsidRPr="00000000">
        <w:rPr>
          <w:color w:val="000000"/>
          <w:rtl w:val="0"/>
        </w:rPr>
        <w:t xml:space="preserve"> (Princeton University Press, 2021).</w:t>
      </w:r>
    </w:p>
    <w:p w:rsidR="00000000" w:rsidDel="00000000" w:rsidP="00000000" w:rsidRDefault="00000000" w:rsidRPr="00000000" w14:paraId="0000004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Vladimir Petrovic, </w:t>
      </w:r>
      <w:r w:rsidDel="00000000" w:rsidR="00000000" w:rsidRPr="00000000">
        <w:rPr>
          <w:i w:val="1"/>
          <w:color w:val="000000"/>
          <w:rtl w:val="0"/>
        </w:rPr>
        <w:t xml:space="preserve">The Emergence of Historical Forensic Expertise: Clio Takes the Stand</w:t>
      </w:r>
      <w:r w:rsidDel="00000000" w:rsidR="00000000" w:rsidRPr="00000000">
        <w:rPr>
          <w:color w:val="000000"/>
          <w:rtl w:val="0"/>
        </w:rPr>
        <w:tab/>
        <w:t xml:space="preserve">(Routledge, 2017)</w:t>
      </w:r>
    </w:p>
    <w:p w:rsidR="00000000" w:rsidDel="00000000" w:rsidP="00000000" w:rsidRDefault="00000000" w:rsidRPr="00000000" w14:paraId="0000005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u w:val="single"/>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jc w:val="center"/>
        <w:rPr>
          <w:color w:val="000000"/>
          <w:u w:val="single"/>
        </w:rPr>
      </w:pPr>
      <w:r w:rsidDel="00000000" w:rsidR="00000000" w:rsidRPr="00000000">
        <w:rPr>
          <w:color w:val="000000"/>
          <w:u w:val="single"/>
          <w:rtl w:val="0"/>
        </w:rPr>
        <w:t xml:space="preserve">Course Outline</w:t>
      </w:r>
    </w:p>
    <w:p w:rsidR="00000000" w:rsidDel="00000000" w:rsidP="00000000" w:rsidRDefault="00000000" w:rsidRPr="00000000" w14:paraId="00000054">
      <w:pPr>
        <w:pBdr>
          <w:top w:space="0" w:sz="0" w:val="nil"/>
          <w:left w:space="0" w:sz="0" w:val="nil"/>
          <w:bottom w:space="0" w:sz="0" w:val="nil"/>
          <w:right w:space="0" w:sz="0" w:val="nil"/>
          <w:between w:space="0" w:sz="0" w:val="nil"/>
        </w:pBdr>
        <w:rPr>
          <w:color w:val="000000"/>
          <w:u w:val="single"/>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 Week 1 (January 26)</w:t>
      </w: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Introduction to the Course</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rPr>
      </w:pPr>
      <w:bookmarkStart w:colFirst="0" w:colLast="0" w:name="_30j0zll" w:id="1"/>
      <w:bookmarkEnd w:id="1"/>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‘What is Extremism?” in Berger, J. M. </w:t>
      </w:r>
      <w:r w:rsidDel="00000000" w:rsidR="00000000" w:rsidRPr="00000000">
        <w:rPr>
          <w:i w:val="1"/>
          <w:rtl w:val="0"/>
        </w:rPr>
        <w:t xml:space="preserve">Extremism</w:t>
      </w:r>
      <w:r w:rsidDel="00000000" w:rsidR="00000000" w:rsidRPr="00000000">
        <w:rPr>
          <w:rtl w:val="0"/>
        </w:rPr>
        <w:t xml:space="preserve">. MIT Press Essential Knowledge</w:t>
        <w:tab/>
        <w:t xml:space="preserve">Series. Cambridge, Massachusetts: MIT Press, 2018, pp.23-50.</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Sinisa Malesevic, “The Contemporary Sociology of Organized Violence” in </w:t>
      </w:r>
      <w:r w:rsidDel="00000000" w:rsidR="00000000" w:rsidRPr="00000000">
        <w:rPr>
          <w:i w:val="1"/>
          <w:rtl w:val="0"/>
        </w:rPr>
        <w:t xml:space="preserve">The</w:t>
        <w:tab/>
        <w:t xml:space="preserve">Sociology of War and Violence,</w:t>
      </w:r>
      <w:r w:rsidDel="00000000" w:rsidR="00000000" w:rsidRPr="00000000">
        <w:rPr>
          <w:rtl w:val="0"/>
        </w:rPr>
        <w:t xml:space="preserve"> pp. 50-85.</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Philip Knightley, “Looking Through a Glass Onion: Propaganda, Psychological Warfare</w:t>
      </w:r>
    </w:p>
    <w:p w:rsidR="00000000" w:rsidDel="00000000" w:rsidP="00000000" w:rsidRDefault="00000000" w:rsidRPr="00000000" w14:paraId="0000005E">
      <w:pPr>
        <w:rPr/>
      </w:pPr>
      <w:r w:rsidDel="00000000" w:rsidR="00000000" w:rsidRPr="00000000">
        <w:rPr>
          <w:rtl w:val="0"/>
        </w:rPr>
        <w:tab/>
        <w:t xml:space="preserve">and Persuasion” in </w:t>
      </w:r>
      <w:r w:rsidDel="00000000" w:rsidR="00000000" w:rsidRPr="00000000">
        <w:rPr>
          <w:i w:val="1"/>
          <w:rtl w:val="0"/>
        </w:rPr>
        <w:t xml:space="preserve">Munitions of the Mind</w:t>
      </w:r>
      <w:r w:rsidDel="00000000" w:rsidR="00000000" w:rsidRPr="00000000">
        <w:rPr>
          <w:rtl w:val="0"/>
        </w:rPr>
        <w:t xml:space="preserve">, pp.1-19.</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 Week 2 (February 2): </w:t>
      </w: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Major Themes</w:t>
      </w:r>
      <w:r w:rsidDel="00000000" w:rsidR="00000000" w:rsidRPr="00000000">
        <w:rPr>
          <w:rtl w:val="0"/>
        </w:rPr>
      </w:r>
    </w:p>
    <w:p w:rsidR="00000000" w:rsidDel="00000000" w:rsidP="00000000" w:rsidRDefault="00000000" w:rsidRPr="00000000" w14:paraId="00000064">
      <w:pPr>
        <w:rPr/>
      </w:pPr>
      <w:bookmarkStart w:colFirst="0" w:colLast="0" w:name="_1fob9te" w:id="2"/>
      <w:bookmarkEnd w:id="2"/>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Andrea Mork, “Why should society dispute historical concepts of truth and fake?” </w:t>
      </w:r>
    </w:p>
    <w:p w:rsidR="00000000" w:rsidDel="00000000" w:rsidP="00000000" w:rsidRDefault="00000000" w:rsidRPr="00000000" w14:paraId="00000066">
      <w:pPr>
        <w:rPr/>
      </w:pPr>
      <w:r w:rsidDel="00000000" w:rsidR="00000000" w:rsidRPr="00000000">
        <w:rPr>
          <w:rtl w:val="0"/>
        </w:rPr>
        <w:t xml:space="preserve">in </w:t>
      </w:r>
      <w:r w:rsidDel="00000000" w:rsidR="00000000" w:rsidRPr="00000000">
        <w:rPr>
          <w:i w:val="1"/>
          <w:rtl w:val="0"/>
        </w:rPr>
        <w:t xml:space="preserve">Fake for Real: A history of forgery and falsification. </w:t>
      </w:r>
      <w:r w:rsidDel="00000000" w:rsidR="00000000" w:rsidRPr="00000000">
        <w:rPr>
          <w:rtl w:val="0"/>
        </w:rPr>
        <w:t xml:space="preserve">House of European History, Brussels 2020, 11-19.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Antonio, Coco, Instigation in J. De Hemptinne, R. Roth, E. Van Sliedregt (eds), 'Modes of Liability in International Criminal Law', Cambridge University Press, Cambridge, 2019, pp. 257-283.</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Stanley, Jason. </w:t>
      </w:r>
      <w:r w:rsidDel="00000000" w:rsidR="00000000" w:rsidRPr="00000000">
        <w:rPr>
          <w:i w:val="1"/>
          <w:rtl w:val="0"/>
        </w:rPr>
        <w:t xml:space="preserve">How Propaganda Works</w:t>
      </w:r>
      <w:r w:rsidDel="00000000" w:rsidR="00000000" w:rsidRPr="00000000">
        <w:rPr>
          <w:rtl w:val="0"/>
        </w:rPr>
        <w:t xml:space="preserve">. Princeton: Princeton University Press, 2015, </w:t>
      </w:r>
    </w:p>
    <w:p w:rsidR="00000000" w:rsidDel="00000000" w:rsidP="00000000" w:rsidRDefault="00000000" w:rsidRPr="00000000" w14:paraId="0000006B">
      <w:pPr>
        <w:ind w:firstLine="720"/>
        <w:rPr/>
      </w:pPr>
      <w:r w:rsidDel="00000000" w:rsidR="00000000" w:rsidRPr="00000000">
        <w:rPr>
          <w:rtl w:val="0"/>
        </w:rPr>
        <w:t xml:space="preserve">pp. 39-80.</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Recommended:</w:t>
      </w:r>
    </w:p>
    <w:p w:rsidR="00000000" w:rsidDel="00000000" w:rsidP="00000000" w:rsidRDefault="00000000" w:rsidRPr="00000000" w14:paraId="0000006F">
      <w:pPr>
        <w:rPr/>
      </w:pPr>
      <w:bookmarkStart w:colFirst="0" w:colLast="0" w:name="_3znysh7" w:id="3"/>
      <w:bookmarkEnd w:id="3"/>
      <w:r w:rsidDel="00000000" w:rsidR="00000000" w:rsidRPr="00000000">
        <w:rPr>
          <w:rtl w:val="0"/>
        </w:rPr>
      </w:r>
    </w:p>
    <w:p w:rsidR="00000000" w:rsidDel="00000000" w:rsidP="00000000" w:rsidRDefault="00000000" w:rsidRPr="00000000" w14:paraId="00000070">
      <w:pPr>
        <w:rPr/>
      </w:pPr>
      <w:r w:rsidDel="00000000" w:rsidR="00000000" w:rsidRPr="00000000">
        <w:rPr>
          <w:i w:val="1"/>
          <w:rtl w:val="0"/>
        </w:rPr>
        <w:t xml:space="preserve">The Fake For Real Exhibition - A Birdseye View</w:t>
      </w:r>
      <w:r w:rsidDel="00000000" w:rsidR="00000000" w:rsidRPr="00000000">
        <w:rPr>
          <w:rtl w:val="0"/>
        </w:rPr>
        <w:t xml:space="preserve">: </w:t>
      </w:r>
      <w:hyperlink r:id="rId11">
        <w:r w:rsidDel="00000000" w:rsidR="00000000" w:rsidRPr="00000000">
          <w:rPr>
            <w:color w:val="0000ff"/>
            <w:u w:val="single"/>
            <w:rtl w:val="0"/>
          </w:rPr>
          <w:t xml:space="preserve">https://www.youtube.com/watch?v=1XaZYmLVvQ8&amp;list=PLfFmlaaSoqz6F5Bg909_Z99x95oTmxzp0</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highlight w:val="white"/>
        </w:rPr>
      </w:pPr>
      <w:r w:rsidDel="00000000" w:rsidR="00000000" w:rsidRPr="00000000">
        <w:rPr>
          <w:highlight w:val="white"/>
          <w:rtl w:val="0"/>
        </w:rPr>
        <w:t xml:space="preserve">Richard Hofstadter. </w:t>
      </w:r>
      <w:r w:rsidDel="00000000" w:rsidR="00000000" w:rsidRPr="00000000">
        <w:rPr>
          <w:i w:val="1"/>
          <w:highlight w:val="white"/>
          <w:rtl w:val="0"/>
        </w:rPr>
        <w:t xml:space="preserve">The </w:t>
      </w:r>
      <w:r w:rsidDel="00000000" w:rsidR="00000000" w:rsidRPr="00000000">
        <w:rPr>
          <w:highlight w:val="white"/>
          <w:rtl w:val="0"/>
        </w:rPr>
        <w:t xml:space="preserve">Paranoid Style</w:t>
      </w:r>
      <w:r w:rsidDel="00000000" w:rsidR="00000000" w:rsidRPr="00000000">
        <w:rPr>
          <w:i w:val="1"/>
          <w:highlight w:val="white"/>
          <w:rtl w:val="0"/>
        </w:rPr>
        <w:t xml:space="preserve"> in American Politics </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color w:val="000000"/>
        </w:rPr>
      </w:pPr>
      <w:hyperlink r:id="rId12">
        <w:r w:rsidDel="00000000" w:rsidR="00000000" w:rsidRPr="00000000">
          <w:rPr>
            <w:color w:val="0000ff"/>
            <w:u w:val="single"/>
            <w:rtl w:val="0"/>
          </w:rPr>
          <w:t xml:space="preserve">https://users.clas.ufl.edu/burt/spaceshotsairheads/HofstaderparanoidstyleHarpers.pdf</w:t>
        </w:r>
      </w:hyperlink>
      <w:r w:rsidDel="00000000" w:rsidR="00000000" w:rsidRPr="00000000">
        <w:rPr>
          <w:color w:val="000000"/>
          <w:rtl w:val="0"/>
        </w:rPr>
        <w:t xml:space="preserve"> </w:t>
      </w:r>
    </w:p>
    <w:p w:rsidR="00000000" w:rsidDel="00000000" w:rsidP="00000000" w:rsidRDefault="00000000" w:rsidRPr="00000000" w14:paraId="0000007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6">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Week 3 (February 9): </w:t>
      </w:r>
      <w:r w:rsidDel="00000000" w:rsidR="00000000" w:rsidRPr="00000000">
        <w:rPr>
          <w:rtl w:val="0"/>
        </w:rPr>
      </w:r>
    </w:p>
    <w:p w:rsidR="00000000" w:rsidDel="00000000" w:rsidP="00000000" w:rsidRDefault="00000000" w:rsidRPr="00000000" w14:paraId="00000077">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 Weaponizing Religion </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color w:val="000000"/>
          <w:highlight w:val="white"/>
        </w:rPr>
      </w:pPr>
      <w:bookmarkStart w:colFirst="0" w:colLast="0" w:name="_2et92p0" w:id="4"/>
      <w:bookmarkEnd w:id="4"/>
      <w:r w:rsidDel="00000000" w:rsidR="00000000" w:rsidRPr="00000000">
        <w:rPr>
          <w:color w:val="000000"/>
          <w:rtl w:val="0"/>
        </w:rPr>
        <w:t xml:space="preserve">Douglas Pratt, “Texts of Terror: scriptural motifs for extremism” in  </w:t>
      </w:r>
      <w:r w:rsidDel="00000000" w:rsidR="00000000" w:rsidRPr="00000000">
        <w:rPr>
          <w:i w:val="1"/>
          <w:color w:val="000000"/>
          <w:highlight w:val="white"/>
          <w:rtl w:val="0"/>
        </w:rPr>
        <w:t xml:space="preserve">Religion and </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ind w:firstLine="720"/>
        <w:rPr>
          <w:color w:val="000000"/>
          <w:highlight w:val="white"/>
        </w:rPr>
      </w:pPr>
      <w:r w:rsidDel="00000000" w:rsidR="00000000" w:rsidRPr="00000000">
        <w:rPr>
          <w:i w:val="1"/>
          <w:color w:val="000000"/>
          <w:highlight w:val="white"/>
          <w:rtl w:val="0"/>
        </w:rPr>
        <w:t xml:space="preserve">Extremism : Rejecting Diversity</w:t>
      </w:r>
      <w:r w:rsidDel="00000000" w:rsidR="00000000" w:rsidRPr="00000000">
        <w:rPr>
          <w:color w:val="000000"/>
          <w:highlight w:val="white"/>
          <w:rtl w:val="0"/>
        </w:rPr>
        <w:t xml:space="preserve">. London, UK ; Bloomsbury, 2018, 49-64.</w:t>
      </w:r>
    </w:p>
    <w:p w:rsidR="00000000" w:rsidDel="00000000" w:rsidP="00000000" w:rsidRDefault="00000000" w:rsidRPr="00000000" w14:paraId="0000007B">
      <w:pPr>
        <w:pBdr>
          <w:top w:space="0" w:sz="0" w:val="nil"/>
          <w:left w:space="0" w:sz="0" w:val="nil"/>
          <w:bottom w:space="0" w:sz="0" w:val="nil"/>
          <w:right w:space="0" w:sz="0" w:val="nil"/>
          <w:between w:space="0" w:sz="0" w:val="nil"/>
        </w:pBdr>
        <w:rPr>
          <w:color w:val="000000"/>
          <w:highlight w:val="white"/>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rPr>
          <w:color w:val="000000"/>
          <w:highlight w:val="white"/>
        </w:rPr>
      </w:pPr>
      <w:r w:rsidDel="00000000" w:rsidR="00000000" w:rsidRPr="00000000">
        <w:rPr>
          <w:color w:val="000000"/>
          <w:highlight w:val="white"/>
          <w:rtl w:val="0"/>
        </w:rPr>
        <w:t xml:space="preserve">Hans Küng, Religion, Violence and ‘Holy Wars’, </w:t>
      </w:r>
      <w:r w:rsidDel="00000000" w:rsidR="00000000" w:rsidRPr="00000000">
        <w:rPr>
          <w:i w:val="1"/>
          <w:color w:val="000000"/>
          <w:highlight w:val="white"/>
          <w:rtl w:val="0"/>
        </w:rPr>
        <w:t xml:space="preserve">International Review of the Red Cross</w:t>
      </w:r>
      <w:r w:rsidDel="00000000" w:rsidR="00000000" w:rsidRPr="00000000">
        <w:rPr>
          <w:color w:val="000000"/>
          <w:highlight w:val="white"/>
          <w:rtl w:val="0"/>
        </w:rPr>
        <w:t xml:space="preserve">,</w:t>
      </w:r>
    </w:p>
    <w:p w:rsidR="00000000" w:rsidDel="00000000" w:rsidP="00000000" w:rsidRDefault="00000000" w:rsidRPr="00000000" w14:paraId="0000007D">
      <w:pPr>
        <w:pBdr>
          <w:top w:space="0" w:sz="0" w:val="nil"/>
          <w:left w:space="0" w:sz="0" w:val="nil"/>
          <w:bottom w:space="0" w:sz="0" w:val="nil"/>
          <w:right w:space="0" w:sz="0" w:val="nil"/>
          <w:between w:space="0" w:sz="0" w:val="nil"/>
        </w:pBdr>
        <w:ind w:firstLine="720"/>
        <w:rPr>
          <w:color w:val="000000"/>
          <w:highlight w:val="white"/>
        </w:rPr>
      </w:pPr>
      <w:r w:rsidDel="00000000" w:rsidR="00000000" w:rsidRPr="00000000">
        <w:rPr>
          <w:color w:val="000000"/>
          <w:highlight w:val="white"/>
          <w:rtl w:val="0"/>
        </w:rPr>
        <w:t xml:space="preserve">Volume 87 Number 858 June 2005, 253-268.</w:t>
      </w:r>
    </w:p>
    <w:p w:rsidR="00000000" w:rsidDel="00000000" w:rsidP="00000000" w:rsidRDefault="00000000" w:rsidRPr="00000000" w14:paraId="0000007E">
      <w:pPr>
        <w:pBdr>
          <w:top w:space="0" w:sz="0" w:val="nil"/>
          <w:left w:space="0" w:sz="0" w:val="nil"/>
          <w:bottom w:space="0" w:sz="0" w:val="nil"/>
          <w:right w:space="0" w:sz="0" w:val="nil"/>
          <w:between w:space="0" w:sz="0" w:val="nil"/>
        </w:pBdr>
        <w:rPr>
          <w:color w:val="000000"/>
          <w:highlight w:val="white"/>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Davis, Natalie Zemon. (1973). The Rites of Violence: Religious Riot in Sixteenth-</w:t>
      </w:r>
    </w:p>
    <w:p w:rsidR="00000000" w:rsidDel="00000000" w:rsidP="00000000" w:rsidRDefault="00000000" w:rsidRPr="00000000" w14:paraId="00000080">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Century France</w:t>
      </w:r>
      <w:r w:rsidDel="00000000" w:rsidR="00000000" w:rsidRPr="00000000">
        <w:rPr>
          <w:i w:val="1"/>
          <w:color w:val="000000"/>
          <w:rtl w:val="0"/>
        </w:rPr>
        <w:t xml:space="preserve">, Past &amp; Present</w:t>
      </w:r>
      <w:r w:rsidDel="00000000" w:rsidR="00000000" w:rsidRPr="00000000">
        <w:rPr>
          <w:color w:val="000000"/>
          <w:rtl w:val="0"/>
        </w:rPr>
        <w:t xml:space="preserve">, 59(1), 51–91.</w:t>
      </w:r>
    </w:p>
    <w:p w:rsidR="00000000" w:rsidDel="00000000" w:rsidP="00000000" w:rsidRDefault="00000000" w:rsidRPr="00000000" w14:paraId="00000081">
      <w:pPr>
        <w:pBdr>
          <w:top w:space="0" w:sz="0" w:val="nil"/>
          <w:left w:space="0" w:sz="0" w:val="nil"/>
          <w:bottom w:space="0" w:sz="0" w:val="nil"/>
          <w:right w:space="0" w:sz="0" w:val="nil"/>
          <w:between w:space="0" w:sz="0" w:val="nil"/>
        </w:pBdr>
        <w:rPr>
          <w:color w:val="000000"/>
        </w:rPr>
      </w:pPr>
      <w:bookmarkStart w:colFirst="0" w:colLast="0" w:name="_tyjcwt" w:id="5"/>
      <w:bookmarkEnd w:id="5"/>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Recommended:</w:t>
      </w:r>
    </w:p>
    <w:p w:rsidR="00000000" w:rsidDel="00000000" w:rsidP="00000000" w:rsidRDefault="00000000" w:rsidRPr="00000000" w14:paraId="00000084">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Stern, Jessica. </w:t>
      </w:r>
      <w:r w:rsidDel="00000000" w:rsidR="00000000" w:rsidRPr="00000000">
        <w:rPr>
          <w:i w:val="1"/>
          <w:color w:val="000000"/>
          <w:rtl w:val="0"/>
        </w:rPr>
        <w:t xml:space="preserve">Terror in the Name of God: Why Religious Militants Kill</w:t>
      </w:r>
      <w:r w:rsidDel="00000000" w:rsidR="00000000" w:rsidRPr="00000000">
        <w:rPr>
          <w:color w:val="000000"/>
          <w:rtl w:val="0"/>
        </w:rPr>
        <w:t xml:space="preserve">. New York:</w:t>
      </w:r>
    </w:p>
    <w:p w:rsidR="00000000" w:rsidDel="00000000" w:rsidP="00000000" w:rsidRDefault="00000000" w:rsidRPr="00000000" w14:paraId="00000086">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Ecco, 2004, 3-137. </w:t>
      </w:r>
    </w:p>
    <w:p w:rsidR="00000000" w:rsidDel="00000000" w:rsidP="00000000" w:rsidRDefault="00000000" w:rsidRPr="00000000" w14:paraId="0000008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Public Intelligence, Anders Behring Breivik’s Complete Manifesto “2083 – A European Declaration of Independence”  </w:t>
      </w:r>
      <w:hyperlink r:id="rId13">
        <w:r w:rsidDel="00000000" w:rsidR="00000000" w:rsidRPr="00000000">
          <w:rPr>
            <w:color w:val="0000ff"/>
            <w:u w:val="single"/>
            <w:rtl w:val="0"/>
          </w:rPr>
          <w:t xml:space="preserve">https://publicintelligence.net/anders-behring-breiviks-complete-manifesto-2083-a-european-declaration-of-independence/</w:t>
        </w:r>
      </w:hyperlink>
      <w:r w:rsidDel="00000000" w:rsidR="00000000" w:rsidRPr="00000000">
        <w:rPr>
          <w:color w:val="000000"/>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 </w:t>
      </w:r>
    </w:p>
    <w:p w:rsidR="00000000" w:rsidDel="00000000" w:rsidP="00000000" w:rsidRDefault="00000000" w:rsidRPr="00000000" w14:paraId="0000008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B">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Week 4 (February 16): </w:t>
      </w:r>
      <w:r w:rsidDel="00000000" w:rsidR="00000000" w:rsidRPr="00000000">
        <w:rPr>
          <w:rtl w:val="0"/>
        </w:rPr>
      </w:r>
    </w:p>
    <w:p w:rsidR="00000000" w:rsidDel="00000000" w:rsidP="00000000" w:rsidRDefault="00000000" w:rsidRPr="00000000" w14:paraId="0000008C">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Propaganda, Militarism and the Thrill of War</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Kurt Tucholsky, “The Spirit of 1914” in </w:t>
      </w:r>
      <w:r w:rsidDel="00000000" w:rsidR="00000000" w:rsidRPr="00000000">
        <w:rPr>
          <w:i w:val="1"/>
          <w:color w:val="000000"/>
          <w:rtl w:val="0"/>
        </w:rPr>
        <w:t xml:space="preserve">The Weimar Republic Sourcebook</w:t>
      </w:r>
      <w:r w:rsidDel="00000000" w:rsidR="00000000" w:rsidRPr="00000000">
        <w:rPr>
          <w:color w:val="000000"/>
          <w:rtl w:val="0"/>
        </w:rPr>
        <w:t xml:space="preserve">, pp.18-21.</w:t>
      </w:r>
    </w:p>
    <w:p w:rsidR="00000000" w:rsidDel="00000000" w:rsidP="00000000" w:rsidRDefault="00000000" w:rsidRPr="00000000" w14:paraId="0000008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Michael Mann, “Explaining the Rise of Interwar Authoritarianism and Fascism” in </w:t>
        <w:tab/>
      </w:r>
      <w:r w:rsidDel="00000000" w:rsidR="00000000" w:rsidRPr="00000000">
        <w:rPr>
          <w:i w:val="1"/>
          <w:color w:val="000000"/>
          <w:rtl w:val="0"/>
        </w:rPr>
        <w:t xml:space="preserve">Fascists</w:t>
      </w:r>
      <w:r w:rsidDel="00000000" w:rsidR="00000000" w:rsidRPr="00000000">
        <w:rPr>
          <w:color w:val="000000"/>
          <w:rtl w:val="0"/>
        </w:rPr>
        <w:t xml:space="preserve">, pp. 31-92.</w:t>
      </w:r>
    </w:p>
    <w:p w:rsidR="00000000" w:rsidDel="00000000" w:rsidP="00000000" w:rsidRDefault="00000000" w:rsidRPr="00000000" w14:paraId="0000009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Philip M. Taylor, “The First World War” and “The Bolshevik Revolution and the War of</w:t>
        <w:tab/>
        <w:t xml:space="preserve">Ideologies, (1917-39)” in </w:t>
      </w:r>
      <w:r w:rsidDel="00000000" w:rsidR="00000000" w:rsidRPr="00000000">
        <w:rPr>
          <w:i w:val="1"/>
          <w:color w:val="000000"/>
          <w:rtl w:val="0"/>
        </w:rPr>
        <w:t xml:space="preserve">Munitions of the Mind: A History of Propaganda from</w:t>
        <w:tab/>
      </w:r>
      <w:r w:rsidDel="00000000" w:rsidR="00000000" w:rsidRPr="00000000">
        <w:rPr>
          <w:i w:val="1"/>
          <w:color w:val="000000"/>
          <w:rtl w:val="0"/>
        </w:rPr>
        <w:t xml:space="preserve">the</w:t>
      </w:r>
      <w:r w:rsidDel="00000000" w:rsidR="00000000" w:rsidRPr="00000000">
        <w:rPr>
          <w:i w:val="1"/>
          <w:color w:val="000000"/>
          <w:rtl w:val="0"/>
        </w:rPr>
        <w:t xml:space="preserve"> Ancient World to the Present Day</w:t>
      </w:r>
      <w:r w:rsidDel="00000000" w:rsidR="00000000" w:rsidRPr="00000000">
        <w:rPr>
          <w:color w:val="000000"/>
          <w:rtl w:val="0"/>
        </w:rPr>
        <w:t xml:space="preserve">, pp. 176-208.</w:t>
      </w:r>
    </w:p>
    <w:p w:rsidR="00000000" w:rsidDel="00000000" w:rsidP="00000000" w:rsidRDefault="00000000" w:rsidRPr="00000000" w14:paraId="0000009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F.T. Marinetti, “The Founding and Manifesto of Futurism” in </w:t>
      </w:r>
      <w:r w:rsidDel="00000000" w:rsidR="00000000" w:rsidRPr="00000000">
        <w:rPr>
          <w:i w:val="1"/>
          <w:color w:val="000000"/>
          <w:rtl w:val="0"/>
        </w:rPr>
        <w:t xml:space="preserve">Marinetti: Selected</w:t>
        <w:tab/>
        <w:t xml:space="preserve">Writings</w:t>
      </w:r>
      <w:r w:rsidDel="00000000" w:rsidR="00000000" w:rsidRPr="00000000">
        <w:rPr>
          <w:color w:val="000000"/>
          <w:rtl w:val="0"/>
        </w:rPr>
        <w:t xml:space="preserve">, pp. 39-75.</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Recommended:</w:t>
      </w:r>
    </w:p>
    <w:p w:rsidR="00000000" w:rsidDel="00000000" w:rsidP="00000000" w:rsidRDefault="00000000" w:rsidRPr="00000000" w14:paraId="0000009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Leni Reifenstahl, Triumph of the Will (1935), https://www.youtube.com/watch?v=_6uVrO5d6KU&amp;t=19s</w:t>
      </w:r>
    </w:p>
    <w:p w:rsidR="00000000" w:rsidDel="00000000" w:rsidP="00000000" w:rsidRDefault="00000000" w:rsidRPr="00000000" w14:paraId="0000009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C">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Week 5 (February 23):  </w:t>
      </w:r>
      <w:r w:rsidDel="00000000" w:rsidR="00000000" w:rsidRPr="00000000">
        <w:rPr>
          <w:rtl w:val="0"/>
        </w:rPr>
      </w:r>
    </w:p>
    <w:p w:rsidR="00000000" w:rsidDel="00000000" w:rsidP="00000000" w:rsidRDefault="00000000" w:rsidRPr="00000000" w14:paraId="0000009D">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Weaponizing Class</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Gueniffey P. A History of Violence in the French Revolution. Vestnik of Saint Petersburg University. History, 2018, vol. 63, issue 3, pp. 908–916</w:t>
      </w:r>
    </w:p>
    <w:p w:rsidR="00000000" w:rsidDel="00000000" w:rsidP="00000000" w:rsidRDefault="00000000" w:rsidRPr="00000000" w14:paraId="000000A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left" w:pos="0"/>
        </w:tabs>
        <w:rPr>
          <w:color w:val="000000"/>
          <w:highlight w:val="white"/>
        </w:rPr>
      </w:pPr>
      <w:r w:rsidDel="00000000" w:rsidR="00000000" w:rsidRPr="00000000">
        <w:rPr>
          <w:color w:val="000000"/>
          <w:highlight w:val="white"/>
          <w:rtl w:val="0"/>
        </w:rPr>
        <w:t xml:space="preserve">Sheila Fitzpatrick, </w:t>
      </w:r>
      <w:r w:rsidDel="00000000" w:rsidR="00000000" w:rsidRPr="00000000">
        <w:rPr>
          <w:i w:val="1"/>
          <w:color w:val="000000"/>
          <w:highlight w:val="white"/>
          <w:rtl w:val="0"/>
        </w:rPr>
        <w:t xml:space="preserve">The Russian Revolution</w:t>
      </w:r>
      <w:r w:rsidDel="00000000" w:rsidR="00000000" w:rsidRPr="00000000">
        <w:rPr>
          <w:color w:val="000000"/>
          <w:highlight w:val="white"/>
          <w:rtl w:val="0"/>
        </w:rPr>
        <w:t xml:space="preserve">, Oxford, Oxford University Press 2017, pp. </w:t>
      </w:r>
    </w:p>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left" w:pos="0"/>
        </w:tabs>
        <w:rPr>
          <w:color w:val="000000"/>
          <w:highlight w:val="white"/>
        </w:rPr>
      </w:pPr>
      <w:r w:rsidDel="00000000" w:rsidR="00000000" w:rsidRPr="00000000">
        <w:rPr>
          <w:color w:val="000000"/>
          <w:highlight w:val="white"/>
          <w:rtl w:val="0"/>
        </w:rPr>
        <w:tab/>
        <w:t xml:space="preserve">41-62, 121-149.</w:t>
      </w:r>
    </w:p>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left" w:pos="0"/>
        </w:tabs>
        <w:rPr>
          <w:color w:val="000000"/>
          <w:highlight w:val="white"/>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J. Ryan, “The Sacralization of Violence: Bolshevik Justifications for Violence and Terror </w:t>
      </w:r>
    </w:p>
    <w:p w:rsidR="00000000" w:rsidDel="00000000" w:rsidP="00000000" w:rsidRDefault="00000000" w:rsidRPr="00000000" w14:paraId="000000A6">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during the Civil War”, </w:t>
      </w:r>
      <w:r w:rsidDel="00000000" w:rsidR="00000000" w:rsidRPr="00000000">
        <w:rPr>
          <w:i w:val="1"/>
          <w:color w:val="000000"/>
          <w:rtl w:val="0"/>
        </w:rPr>
        <w:t xml:space="preserve">Slavic Review</w:t>
      </w:r>
      <w:r w:rsidDel="00000000" w:rsidR="00000000" w:rsidRPr="00000000">
        <w:rPr>
          <w:color w:val="000000"/>
          <w:rtl w:val="0"/>
        </w:rPr>
        <w:t xml:space="preserve">, 2015/4, 808–831.</w:t>
      </w:r>
    </w:p>
    <w:p w:rsidR="00000000" w:rsidDel="00000000" w:rsidP="00000000" w:rsidRDefault="00000000" w:rsidRPr="00000000" w14:paraId="000000A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Anne Applebaum, </w:t>
      </w:r>
      <w:r w:rsidDel="00000000" w:rsidR="00000000" w:rsidRPr="00000000">
        <w:rPr>
          <w:i w:val="1"/>
          <w:color w:val="000000"/>
          <w:rtl w:val="0"/>
        </w:rPr>
        <w:t xml:space="preserve">Gulag. A History</w:t>
      </w:r>
      <w:r w:rsidDel="00000000" w:rsidR="00000000" w:rsidRPr="00000000">
        <w:rPr>
          <w:color w:val="000000"/>
          <w:rtl w:val="0"/>
        </w:rPr>
        <w:t xml:space="preserve">, London: Penguin Books, 2004, 1-25.</w:t>
      </w:r>
    </w:p>
    <w:p w:rsidR="00000000" w:rsidDel="00000000" w:rsidP="00000000" w:rsidRDefault="00000000" w:rsidRPr="00000000" w14:paraId="000000A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A">
      <w:pPr>
        <w:rPr/>
      </w:pPr>
      <w:bookmarkStart w:colFirst="0" w:colLast="0" w:name="_3dy6vkm" w:id="6"/>
      <w:bookmarkEnd w:id="6"/>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Recommended:</w:t>
      </w:r>
    </w:p>
    <w:p w:rsidR="00000000" w:rsidDel="00000000" w:rsidP="00000000" w:rsidRDefault="00000000" w:rsidRPr="00000000" w14:paraId="000000A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Maximilien Robespierre:Justification of the Use of Terror </w:t>
      </w:r>
      <w:hyperlink r:id="rId14">
        <w:r w:rsidDel="00000000" w:rsidR="00000000" w:rsidRPr="00000000">
          <w:rPr>
            <w:color w:val="0000ff"/>
            <w:u w:val="single"/>
            <w:rtl w:val="0"/>
          </w:rPr>
          <w:t xml:space="preserve">https://sourcebooks.fordham.edu/mod/robespierre-terror.asp</w:t>
        </w:r>
      </w:hyperlink>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A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Khrushchev's Secret Speech, 'On the Cult of Personality and Its Consequences,' Delivered at the Twentieth Party Congress of the Communist Party of the Soviet Union February 25, 1956 </w:t>
      </w:r>
      <w:hyperlink r:id="rId15">
        <w:r w:rsidDel="00000000" w:rsidR="00000000" w:rsidRPr="00000000">
          <w:rPr>
            <w:color w:val="0000ff"/>
            <w:u w:val="single"/>
            <w:rtl w:val="0"/>
          </w:rPr>
          <w:t xml:space="preserve">https://digitalarchive.wilsoncenter.org/document/115995.pdf?v=3c22b71b65bcbbe9fdfadead9419c995</w:t>
        </w:r>
      </w:hyperlink>
      <w:r w:rsidDel="00000000" w:rsidR="00000000" w:rsidRPr="00000000">
        <w:rPr>
          <w:color w:val="000000"/>
          <w:rtl w:val="0"/>
        </w:rPr>
        <w:t xml:space="preserve"> </w:t>
      </w:r>
    </w:p>
    <w:p w:rsidR="00000000" w:rsidDel="00000000" w:rsidP="00000000" w:rsidRDefault="00000000" w:rsidRPr="00000000" w14:paraId="000000B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Navalny Poison Squad Implicated in Murders of Three Russian Activists</w:t>
      </w:r>
    </w:p>
    <w:p w:rsidR="00000000" w:rsidDel="00000000" w:rsidP="00000000" w:rsidRDefault="00000000" w:rsidRPr="00000000" w14:paraId="000000B2">
      <w:pPr>
        <w:pBdr>
          <w:top w:space="0" w:sz="0" w:val="nil"/>
          <w:left w:space="0" w:sz="0" w:val="nil"/>
          <w:bottom w:space="0" w:sz="0" w:val="nil"/>
          <w:right w:space="0" w:sz="0" w:val="nil"/>
          <w:between w:space="0" w:sz="0" w:val="nil"/>
        </w:pBdr>
        <w:rPr>
          <w:color w:val="000000"/>
        </w:rPr>
      </w:pPr>
      <w:hyperlink r:id="rId16">
        <w:r w:rsidDel="00000000" w:rsidR="00000000" w:rsidRPr="00000000">
          <w:rPr>
            <w:color w:val="0000ff"/>
            <w:u w:val="single"/>
            <w:rtl w:val="0"/>
          </w:rPr>
          <w:t xml:space="preserve">https://www.bellingcat.com/news/uk-and-europe/2021/01/27/navalny-poison-squad-implicated-in-murders-of-three-russian-activists/</w:t>
        </w:r>
      </w:hyperlink>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6">
      <w:pPr>
        <w:pBdr>
          <w:top w:color="000000" w:space="1" w:sz="4" w:val="single"/>
          <w:left w:color="000000" w:space="31" w:sz="4" w:val="single"/>
          <w:bottom w:color="000000" w:space="1" w:sz="4" w:val="single"/>
          <w:right w:color="000000" w:space="4" w:sz="4" w:val="single"/>
          <w:between w:space="0" w:sz="0" w:val="nil"/>
        </w:pBdr>
        <w:ind w:left="426" w:firstLine="0"/>
        <w:jc w:val="center"/>
        <w:rPr>
          <w:color w:val="000000"/>
        </w:rPr>
      </w:pPr>
      <w:r w:rsidDel="00000000" w:rsidR="00000000" w:rsidRPr="00000000">
        <w:rPr>
          <w:b w:val="1"/>
          <w:color w:val="000000"/>
          <w:rtl w:val="0"/>
        </w:rPr>
        <w:t xml:space="preserve"> Week 6 (March 2):  </w:t>
      </w:r>
      <w:r w:rsidDel="00000000" w:rsidR="00000000" w:rsidRPr="00000000">
        <w:rPr>
          <w:rtl w:val="0"/>
        </w:rPr>
      </w:r>
    </w:p>
    <w:p w:rsidR="00000000" w:rsidDel="00000000" w:rsidP="00000000" w:rsidRDefault="00000000" w:rsidRPr="00000000" w14:paraId="000000B7">
      <w:pPr>
        <w:pBdr>
          <w:top w:color="000000" w:space="1" w:sz="4" w:val="single"/>
          <w:left w:color="000000" w:space="31" w:sz="4" w:val="single"/>
          <w:bottom w:color="000000" w:space="1" w:sz="4" w:val="single"/>
          <w:right w:color="000000" w:space="4" w:sz="4" w:val="single"/>
          <w:between w:space="0" w:sz="0" w:val="nil"/>
        </w:pBdr>
        <w:ind w:left="426" w:firstLine="0"/>
        <w:jc w:val="center"/>
        <w:rPr>
          <w:color w:val="000000"/>
        </w:rPr>
      </w:pPr>
      <w:r w:rsidDel="00000000" w:rsidR="00000000" w:rsidRPr="00000000">
        <w:rPr>
          <w:b w:val="1"/>
          <w:color w:val="000000"/>
          <w:rtl w:val="0"/>
        </w:rPr>
        <w:t xml:space="preserve">Discipline, Distance and Dehumanization</w:t>
      </w: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rPr>
          <w:color w:val="000000"/>
          <w:highlight w:val="white"/>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Max Weber, “The Origins of Discipline in War” in </w:t>
      </w:r>
      <w:r w:rsidDel="00000000" w:rsidR="00000000" w:rsidRPr="00000000">
        <w:rPr>
          <w:i w:val="1"/>
          <w:color w:val="000000"/>
          <w:rtl w:val="0"/>
        </w:rPr>
        <w:t xml:space="preserve">From Max Weber: Essays in</w:t>
        <w:tab/>
        <w:t xml:space="preserve">Sociology</w:t>
      </w:r>
      <w:r w:rsidDel="00000000" w:rsidR="00000000" w:rsidRPr="00000000">
        <w:rPr>
          <w:color w:val="000000"/>
          <w:rtl w:val="0"/>
        </w:rPr>
        <w:t xml:space="preserve">, pp. 255-261.</w:t>
      </w:r>
    </w:p>
    <w:p w:rsidR="00000000" w:rsidDel="00000000" w:rsidP="00000000" w:rsidRDefault="00000000" w:rsidRPr="00000000" w14:paraId="000000B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rPr>
          <w:color w:val="000000"/>
          <w:u w:val="single"/>
        </w:rPr>
      </w:pPr>
      <w:r w:rsidDel="00000000" w:rsidR="00000000" w:rsidRPr="00000000">
        <w:rPr>
          <w:color w:val="000000"/>
          <w:rtl w:val="0"/>
        </w:rPr>
        <w:t xml:space="preserve">Ernst Junger, “From Bazancourt to Hattonchatel” in </w:t>
      </w:r>
      <w:r w:rsidDel="00000000" w:rsidR="00000000" w:rsidRPr="00000000">
        <w:rPr>
          <w:i w:val="1"/>
          <w:color w:val="000000"/>
          <w:rtl w:val="0"/>
        </w:rPr>
        <w:t xml:space="preserve">Storm of Steel</w:t>
      </w:r>
      <w:r w:rsidDel="00000000" w:rsidR="00000000" w:rsidRPr="00000000">
        <w:rPr>
          <w:color w:val="000000"/>
          <w:rtl w:val="0"/>
        </w:rPr>
        <w:t xml:space="preserve">, pp. 16-22.</w:t>
      </w: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Randall Collins, “Does nationalist sentiment increase fighting efficacy? A skeptical view</w:t>
        <w:tab/>
        <w:t xml:space="preserve">from the sociology of violence” in </w:t>
      </w:r>
      <w:r w:rsidDel="00000000" w:rsidR="00000000" w:rsidRPr="00000000">
        <w:rPr>
          <w:i w:val="1"/>
          <w:color w:val="000000"/>
          <w:rtl w:val="0"/>
        </w:rPr>
        <w:t xml:space="preserve">Nationalism and War</w:t>
      </w:r>
      <w:r w:rsidDel="00000000" w:rsidR="00000000" w:rsidRPr="00000000">
        <w:rPr>
          <w:color w:val="000000"/>
          <w:rtl w:val="0"/>
        </w:rPr>
        <w:t xml:space="preserve">, pp. 31-43.</w:t>
      </w:r>
    </w:p>
    <w:p w:rsidR="00000000" w:rsidDel="00000000" w:rsidP="00000000" w:rsidRDefault="00000000" w:rsidRPr="00000000" w14:paraId="000000B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Barbara Ehrenreich, “The Warrior Elite” and “The Further Evolution of War in the</w:t>
        <w:tab/>
        <w:t xml:space="preserve">Twentieth Century” in </w:t>
      </w:r>
      <w:r w:rsidDel="00000000" w:rsidR="00000000" w:rsidRPr="00000000">
        <w:rPr>
          <w:i w:val="1"/>
          <w:color w:val="000000"/>
          <w:rtl w:val="0"/>
        </w:rPr>
        <w:t xml:space="preserve">Blood </w:t>
        <w:tab/>
        <w:t xml:space="preserve">Rites: Origins and History of the Passions of War</w:t>
      </w:r>
      <w:r w:rsidDel="00000000" w:rsidR="00000000" w:rsidRPr="00000000">
        <w:rPr>
          <w:color w:val="000000"/>
          <w:rtl w:val="0"/>
        </w:rPr>
        <w:t xml:space="preserve">, </w:t>
        <w:tab/>
        <w:t xml:space="preserve">pp. 144-158; pp. 225-244.</w:t>
      </w:r>
    </w:p>
    <w:p w:rsidR="00000000" w:rsidDel="00000000" w:rsidP="00000000" w:rsidRDefault="00000000" w:rsidRPr="00000000" w14:paraId="000000C0">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Recommended:</w:t>
      </w:r>
    </w:p>
    <w:p w:rsidR="00000000" w:rsidDel="00000000" w:rsidP="00000000" w:rsidRDefault="00000000" w:rsidRPr="00000000" w14:paraId="000000C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German WWI veteran describes killing a French soldier in a bayonet charge </w:t>
      </w:r>
      <w:hyperlink r:id="rId17">
        <w:r w:rsidDel="00000000" w:rsidR="00000000" w:rsidRPr="00000000">
          <w:rPr>
            <w:color w:val="0000ff"/>
            <w:u w:val="single"/>
            <w:rtl w:val="0"/>
          </w:rPr>
          <w:t xml:space="preserve">https://www.youtube.com/watch?v=XruYsAmKLyU</w:t>
        </w:r>
      </w:hyperlink>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rPr>
          <w:color w:val="000000"/>
          <w:highlight w:val="white"/>
        </w:rPr>
      </w:pPr>
      <w:r w:rsidDel="00000000" w:rsidR="00000000" w:rsidRPr="00000000">
        <w:rPr>
          <w:rtl w:val="0"/>
        </w:rPr>
      </w:r>
    </w:p>
    <w:p w:rsidR="00000000" w:rsidDel="00000000" w:rsidP="00000000" w:rsidRDefault="00000000" w:rsidRPr="00000000" w14:paraId="000000C6">
      <w:pPr>
        <w:jc w:val="left"/>
        <w:rPr/>
      </w:pPr>
      <w:r w:rsidDel="00000000" w:rsidR="00000000" w:rsidRPr="00000000">
        <w:rPr>
          <w:rtl w:val="0"/>
        </w:rPr>
      </w:r>
    </w:p>
    <w:p w:rsidR="00000000" w:rsidDel="00000000" w:rsidP="00000000" w:rsidRDefault="00000000" w:rsidRPr="00000000" w14:paraId="000000C7">
      <w:pPr>
        <w:jc w:val="center"/>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9">
      <w:pPr>
        <w:pBdr>
          <w:top w:color="000000" w:space="0"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 Week 7 (March 9):</w:t>
      </w:r>
      <w:r w:rsidDel="00000000" w:rsidR="00000000" w:rsidRPr="00000000">
        <w:rPr>
          <w:rtl w:val="0"/>
        </w:rPr>
      </w:r>
    </w:p>
    <w:p w:rsidR="00000000" w:rsidDel="00000000" w:rsidP="00000000" w:rsidRDefault="00000000" w:rsidRPr="00000000" w14:paraId="000000CA">
      <w:pPr>
        <w:pBdr>
          <w:top w:color="000000" w:space="0"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Weaponizing Ethnicity</w:t>
      </w: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Benedict Anderson, </w:t>
      </w:r>
      <w:r w:rsidDel="00000000" w:rsidR="00000000" w:rsidRPr="00000000">
        <w:rPr>
          <w:i w:val="1"/>
          <w:color w:val="000000"/>
          <w:rtl w:val="0"/>
        </w:rPr>
        <w:t xml:space="preserve">Imagined Communities. Reflections on the Origin and Spread of </w:t>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ind w:firstLine="720"/>
        <w:rPr>
          <w:color w:val="000000"/>
        </w:rPr>
      </w:pPr>
      <w:r w:rsidDel="00000000" w:rsidR="00000000" w:rsidRPr="00000000">
        <w:rPr>
          <w:i w:val="1"/>
          <w:color w:val="000000"/>
          <w:rtl w:val="0"/>
        </w:rPr>
        <w:t xml:space="preserve">Nationalism</w:t>
      </w:r>
      <w:r w:rsidDel="00000000" w:rsidR="00000000" w:rsidRPr="00000000">
        <w:rPr>
          <w:color w:val="000000"/>
          <w:rtl w:val="0"/>
        </w:rPr>
        <w:t xml:space="preserve">, New York, Verso, 2006, 1-8, 144-162</w:t>
      </w:r>
    </w:p>
    <w:p w:rsidR="00000000" w:rsidDel="00000000" w:rsidP="00000000" w:rsidRDefault="00000000" w:rsidRPr="00000000" w14:paraId="000000C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Mann, Michael. The Dark Side of Democracy : Explaining Ethnic Cleansing. New York: </w:t>
      </w:r>
    </w:p>
    <w:p w:rsidR="00000000" w:rsidDel="00000000" w:rsidP="00000000" w:rsidRDefault="00000000" w:rsidRPr="00000000" w14:paraId="000000D1">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Cambridge University Press, 2005. 1-33</w:t>
      </w:r>
    </w:p>
    <w:p w:rsidR="00000000" w:rsidDel="00000000" w:rsidP="00000000" w:rsidRDefault="00000000" w:rsidRPr="00000000" w14:paraId="000000D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Erika Lee, </w:t>
      </w:r>
      <w:r w:rsidDel="00000000" w:rsidR="00000000" w:rsidRPr="00000000">
        <w:rPr>
          <w:i w:val="1"/>
          <w:color w:val="000000"/>
          <w:rtl w:val="0"/>
        </w:rPr>
        <w:t xml:space="preserve">America for Americans. A History of Xenophobia in the United States</w:t>
      </w:r>
      <w:r w:rsidDel="00000000" w:rsidR="00000000" w:rsidRPr="00000000">
        <w:rPr>
          <w:color w:val="000000"/>
          <w:rtl w:val="0"/>
        </w:rPr>
        <w:t xml:space="preserve">, New York, Basic Books, 2019, 1-16, 321-338</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Recommended:</w:t>
      </w:r>
    </w:p>
    <w:p w:rsidR="00000000" w:rsidDel="00000000" w:rsidP="00000000" w:rsidRDefault="00000000" w:rsidRPr="00000000" w14:paraId="000000D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D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Heather Winlow, Mapping Moral Geographies: W. Z. Ripley's Races of Europe </w:t>
      </w:r>
    </w:p>
    <w:p w:rsidR="00000000" w:rsidDel="00000000" w:rsidP="00000000" w:rsidRDefault="00000000" w:rsidRPr="00000000" w14:paraId="000000D8">
      <w:pPr>
        <w:rPr/>
      </w:pPr>
      <w:r w:rsidDel="00000000" w:rsidR="00000000" w:rsidRPr="00000000">
        <w:rPr>
          <w:rtl w:val="0"/>
        </w:rPr>
        <w:t xml:space="preserve">and the United States, Annals of the Association of American Geographers, 96:1 (2006):, 119-141</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Vladimir Petrović, Ethnopolitical Temptations Reach Southeastern Europe: Wartime </w:t>
      </w:r>
    </w:p>
    <w:p w:rsidR="00000000" w:rsidDel="00000000" w:rsidP="00000000" w:rsidRDefault="00000000" w:rsidRPr="00000000" w14:paraId="000000DB">
      <w:pPr>
        <w:pBdr>
          <w:top w:space="0" w:sz="0" w:val="nil"/>
          <w:left w:space="0" w:sz="0" w:val="nil"/>
          <w:bottom w:space="0" w:sz="0" w:val="nil"/>
          <w:right w:space="0" w:sz="0" w:val="nil"/>
          <w:between w:space="0" w:sz="0" w:val="nil"/>
        </w:pBdr>
        <w:ind w:left="720" w:firstLine="0"/>
        <w:rPr>
          <w:color w:val="000000"/>
        </w:rPr>
      </w:pPr>
      <w:r w:rsidDel="00000000" w:rsidR="00000000" w:rsidRPr="00000000">
        <w:rPr>
          <w:color w:val="000000"/>
          <w:rtl w:val="0"/>
        </w:rPr>
        <w:t xml:space="preserve">Policy Papers of Vasa Čubrilović and Sabin Manuilă, In Vladimir Tismaneanu, Christian Iacob Bogdan (eds.), Ideological Storms: Intellectuals, Dictators, and the Totalitarian Temptation. CEU Press: Budapest, 2019,  319-343</w:t>
      </w:r>
    </w:p>
    <w:p w:rsidR="00000000" w:rsidDel="00000000" w:rsidP="00000000" w:rsidRDefault="00000000" w:rsidRPr="00000000" w14:paraId="000000DC">
      <w:pPr>
        <w:pBdr>
          <w:top w:space="0" w:sz="0" w:val="nil"/>
          <w:left w:space="0" w:sz="0" w:val="nil"/>
          <w:bottom w:space="0" w:sz="0" w:val="nil"/>
          <w:right w:space="0" w:sz="0" w:val="nil"/>
          <w:between w:space="0" w:sz="0" w:val="nil"/>
        </w:pBdr>
        <w:ind w:firstLine="720"/>
        <w:rPr>
          <w:color w:val="000000"/>
        </w:rPr>
      </w:pPr>
      <w:bookmarkStart w:colFirst="0" w:colLast="0" w:name="_1t3h5sf" w:id="7"/>
      <w:bookmarkEnd w:id="7"/>
      <w:r w:rsidDel="00000000" w:rsidR="00000000" w:rsidRPr="00000000">
        <w:rPr>
          <w:color w:val="000000"/>
          <w:rtl w:val="0"/>
        </w:rPr>
        <w:t xml:space="preserve">. </w:t>
      </w:r>
    </w:p>
    <w:p w:rsidR="00000000" w:rsidDel="00000000" w:rsidP="00000000" w:rsidRDefault="00000000" w:rsidRPr="00000000" w14:paraId="000000DD">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left" w:pos="0"/>
        </w:tabs>
        <w:jc w:val="center"/>
        <w:rPr>
          <w:b w:val="1"/>
          <w:color w:val="000000"/>
        </w:rPr>
      </w:pPr>
      <w:r w:rsidDel="00000000" w:rsidR="00000000" w:rsidRPr="00000000">
        <w:rPr>
          <w:b w:val="1"/>
          <w:color w:val="000000"/>
          <w:rtl w:val="0"/>
        </w:rPr>
        <w:t xml:space="preserve">N.B. March 16 is Spring Break, no class! </w:t>
      </w:r>
    </w:p>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left" w:pos="0"/>
        </w:tabs>
        <w:jc w:val="center"/>
        <w:rPr>
          <w:b w:val="1"/>
          <w:color w:val="00000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left" w:pos="0"/>
        </w:tabs>
        <w:jc w:val="center"/>
        <w:rPr>
          <w:b w:val="1"/>
          <w:color w:val="000000"/>
        </w:rPr>
      </w:pPr>
      <w:r w:rsidDel="00000000" w:rsidR="00000000" w:rsidRPr="00000000">
        <w:rPr>
          <w:b w:val="1"/>
          <w:color w:val="000000"/>
          <w:rtl w:val="0"/>
        </w:rPr>
        <w:t xml:space="preserve">Midterm Paper Due March 19</w:t>
      </w:r>
    </w:p>
    <w:p w:rsidR="00000000" w:rsidDel="00000000" w:rsidP="00000000" w:rsidRDefault="00000000" w:rsidRPr="00000000" w14:paraId="000000E1">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E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E3">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Week 8 (March 23):</w:t>
      </w:r>
      <w:r w:rsidDel="00000000" w:rsidR="00000000" w:rsidRPr="00000000">
        <w:rPr>
          <w:rtl w:val="0"/>
        </w:rPr>
      </w:r>
    </w:p>
    <w:p w:rsidR="00000000" w:rsidDel="00000000" w:rsidP="00000000" w:rsidRDefault="00000000" w:rsidRPr="00000000" w14:paraId="000000E4">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Weaponizing Race</w:t>
      </w: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ind w:left="360" w:firstLine="0"/>
        <w:rPr>
          <w:color w:val="000000"/>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Ivan Hannaford, Race. </w:t>
      </w:r>
      <w:r w:rsidDel="00000000" w:rsidR="00000000" w:rsidRPr="00000000">
        <w:rPr>
          <w:i w:val="1"/>
          <w:color w:val="000000"/>
          <w:rtl w:val="0"/>
        </w:rPr>
        <w:t xml:space="preserve">The History of an idea in the West</w:t>
      </w:r>
      <w:r w:rsidDel="00000000" w:rsidR="00000000" w:rsidRPr="00000000">
        <w:rPr>
          <w:color w:val="000000"/>
          <w:rtl w:val="0"/>
        </w:rPr>
        <w:t xml:space="preserve">, Baltimore: The John Hopkins </w:t>
      </w:r>
    </w:p>
    <w:p w:rsidR="00000000" w:rsidDel="00000000" w:rsidP="00000000" w:rsidRDefault="00000000" w:rsidRPr="00000000" w14:paraId="000000E8">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University Press, 1996, 325-368, 385-401.</w:t>
      </w:r>
    </w:p>
    <w:p w:rsidR="00000000" w:rsidDel="00000000" w:rsidP="00000000" w:rsidRDefault="00000000" w:rsidRPr="00000000" w14:paraId="000000E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Saul Friedländer, </w:t>
      </w:r>
      <w:r w:rsidDel="00000000" w:rsidR="00000000" w:rsidRPr="00000000">
        <w:rPr>
          <w:i w:val="1"/>
          <w:color w:val="000000"/>
          <w:rtl w:val="0"/>
        </w:rPr>
        <w:t xml:space="preserve">Nazi Germany and the Jews 1933-1945</w:t>
      </w:r>
      <w:r w:rsidDel="00000000" w:rsidR="00000000" w:rsidRPr="00000000">
        <w:rPr>
          <w:color w:val="000000"/>
          <w:rtl w:val="0"/>
        </w:rPr>
        <w:t xml:space="preserve">, NY : Harper, 2009, 259-292..</w:t>
      </w:r>
    </w:p>
    <w:p w:rsidR="00000000" w:rsidDel="00000000" w:rsidP="00000000" w:rsidRDefault="00000000" w:rsidRPr="00000000" w14:paraId="000000E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Naimark, Norman M. </w:t>
      </w:r>
      <w:r w:rsidDel="00000000" w:rsidR="00000000" w:rsidRPr="00000000">
        <w:rPr>
          <w:i w:val="1"/>
          <w:color w:val="000000"/>
          <w:rtl w:val="0"/>
        </w:rPr>
        <w:t xml:space="preserve">Genocide: A World History</w:t>
      </w:r>
      <w:r w:rsidDel="00000000" w:rsidR="00000000" w:rsidRPr="00000000">
        <w:rPr>
          <w:color w:val="000000"/>
          <w:rtl w:val="0"/>
        </w:rPr>
        <w:t xml:space="preserve">. New York: Oxford University</w:t>
      </w:r>
    </w:p>
    <w:p w:rsidR="00000000" w:rsidDel="00000000" w:rsidP="00000000" w:rsidRDefault="00000000" w:rsidRPr="00000000" w14:paraId="000000ED">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Press, 2016, 123-144.</w:t>
      </w:r>
    </w:p>
    <w:p w:rsidR="00000000" w:rsidDel="00000000" w:rsidP="00000000" w:rsidRDefault="00000000" w:rsidRPr="00000000" w14:paraId="000000E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Recommended:</w:t>
      </w:r>
    </w:p>
    <w:p w:rsidR="00000000" w:rsidDel="00000000" w:rsidP="00000000" w:rsidRDefault="00000000" w:rsidRPr="00000000" w14:paraId="000000F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Protocols of the Elders of Zion: Critical Edition </w:t>
      </w:r>
      <w:hyperlink r:id="rId18">
        <w:r w:rsidDel="00000000" w:rsidR="00000000" w:rsidRPr="00000000">
          <w:rPr>
            <w:color w:val="0000ff"/>
            <w:u w:val="single"/>
            <w:rtl w:val="0"/>
          </w:rPr>
          <w:t xml:space="preserve">https://www.jewishvirtuallibrary.org/the-ldquo-protocols-of-the-elders-of-zion-rdquo</w:t>
        </w:r>
      </w:hyperlink>
      <w:r w:rsidDel="00000000" w:rsidR="00000000" w:rsidRPr="00000000">
        <w:rPr>
          <w:rtl w:val="0"/>
        </w:rPr>
        <w:t xml:space="preserve"> </w:t>
      </w:r>
    </w:p>
    <w:p w:rsidR="00000000" w:rsidDel="00000000" w:rsidP="00000000" w:rsidRDefault="00000000" w:rsidRPr="00000000" w14:paraId="000000F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Christian Gerlach, “The Wannsee Conference, the Fate of German Jews, and Hitler’s </w:t>
      </w:r>
    </w:p>
    <w:p w:rsidR="00000000" w:rsidDel="00000000" w:rsidP="00000000" w:rsidRDefault="00000000" w:rsidRPr="00000000" w14:paraId="000000F6">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Decision in Principle to Exterminate All European Jews”, </w:t>
      </w:r>
      <w:r w:rsidDel="00000000" w:rsidR="00000000" w:rsidRPr="00000000">
        <w:rPr>
          <w:i w:val="1"/>
          <w:color w:val="000000"/>
          <w:rtl w:val="0"/>
        </w:rPr>
        <w:t xml:space="preserve">Journal of Modern </w:t>
      </w: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rPr>
          <w:color w:val="000000"/>
        </w:rPr>
      </w:pPr>
      <w:r w:rsidDel="00000000" w:rsidR="00000000" w:rsidRPr="00000000">
        <w:rPr>
          <w:i w:val="1"/>
          <w:color w:val="000000"/>
          <w:rtl w:val="0"/>
        </w:rPr>
        <w:t xml:space="preserve">History</w:t>
      </w:r>
      <w:r w:rsidDel="00000000" w:rsidR="00000000" w:rsidRPr="00000000">
        <w:rPr>
          <w:color w:val="000000"/>
          <w:rtl w:val="0"/>
        </w:rPr>
        <w:t xml:space="preserve">, vol. 12, no. 4 (1998), pp.759-812</w:t>
      </w:r>
    </w:p>
    <w:p w:rsidR="00000000" w:rsidDel="00000000" w:rsidP="00000000" w:rsidRDefault="00000000" w:rsidRPr="00000000" w14:paraId="000000F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Wansee</w:t>
      </w:r>
      <w:r w:rsidDel="00000000" w:rsidR="00000000" w:rsidRPr="00000000">
        <w:rPr>
          <w:color w:val="000000"/>
          <w:rtl w:val="0"/>
        </w:rPr>
        <w:t xml:space="preserve"> Protocol </w:t>
      </w:r>
      <w:hyperlink r:id="rId19">
        <w:r w:rsidDel="00000000" w:rsidR="00000000" w:rsidRPr="00000000">
          <w:rPr>
            <w:color w:val="0000ff"/>
            <w:u w:val="single"/>
            <w:rtl w:val="0"/>
          </w:rPr>
          <w:t xml:space="preserve">http://avalon.law.yale.edu/imt/wannsee.asp</w:t>
        </w:r>
      </w:hyperlink>
      <w:r w:rsidDel="00000000" w:rsidR="00000000" w:rsidRPr="00000000">
        <w:rPr>
          <w:rtl w:val="0"/>
        </w:rPr>
      </w:r>
    </w:p>
    <w:p w:rsidR="00000000" w:rsidDel="00000000" w:rsidP="00000000" w:rsidRDefault="00000000" w:rsidRPr="00000000" w14:paraId="000000F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Die Wanseekonferenz (1984) https://www.youtube.com/watch?v=URSNN5mnI2g</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t xml:space="preserve">From a Speech by Himmler Before Senior SS Officers in</w:t>
      </w:r>
    </w:p>
    <w:p w:rsidR="00000000" w:rsidDel="00000000" w:rsidP="00000000" w:rsidRDefault="00000000" w:rsidRPr="00000000" w14:paraId="000000FE">
      <w:pPr>
        <w:rPr/>
      </w:pPr>
      <w:r w:rsidDel="00000000" w:rsidR="00000000" w:rsidRPr="00000000">
        <w:rPr>
          <w:rtl w:val="0"/>
        </w:rPr>
        <w:t xml:space="preserve">Poznan, October 4, 1943 </w:t>
      </w:r>
      <w:hyperlink r:id="rId20">
        <w:r w:rsidDel="00000000" w:rsidR="00000000" w:rsidRPr="00000000">
          <w:rPr>
            <w:color w:val="0000ff"/>
            <w:u w:val="single"/>
            <w:rtl w:val="0"/>
          </w:rPr>
          <w:t xml:space="preserve">https://www.yadvashem.org/odot_pdf/Microsoft%20Word%20-%204029.pdf</w:t>
        </w:r>
      </w:hyperlink>
      <w:r w:rsidDel="00000000" w:rsidR="00000000" w:rsidRPr="00000000">
        <w:rPr>
          <w:rtl w:val="0"/>
        </w:rPr>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color w:val="0000ff"/>
          <w:u w:val="single"/>
        </w:rPr>
      </w:pPr>
      <w:bookmarkStart w:colFirst="0" w:colLast="0" w:name="_4d34og8" w:id="8"/>
      <w:bookmarkEnd w:id="8"/>
      <w:r w:rsidDel="00000000" w:rsidR="00000000" w:rsidRPr="00000000">
        <w:rPr>
          <w:rtl w:val="0"/>
        </w:rPr>
        <w:t xml:space="preserve">Shawn E. Fields, Weaponized Racial Fear, 93 Tul. L. Rev. 931 (2019). Available at: </w:t>
      </w:r>
      <w:hyperlink r:id="rId21">
        <w:r w:rsidDel="00000000" w:rsidR="00000000" w:rsidRPr="00000000">
          <w:rPr>
            <w:color w:val="0000ff"/>
            <w:u w:val="single"/>
            <w:rtl w:val="0"/>
          </w:rPr>
          <w:t xml:space="preserve">https://scholarship.law.campbell.edu/fac_sw/157</w:t>
        </w:r>
      </w:hyperlink>
      <w:r w:rsidDel="00000000" w:rsidR="00000000" w:rsidRPr="00000000">
        <w:rPr>
          <w:rtl w:val="0"/>
        </w:rPr>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War on drugs </w:t>
      </w:r>
      <w:hyperlink r:id="rId22">
        <w:r w:rsidDel="00000000" w:rsidR="00000000" w:rsidRPr="00000000">
          <w:rPr>
            <w:color w:val="0000ff"/>
            <w:u w:val="single"/>
            <w:rtl w:val="0"/>
          </w:rPr>
          <w:t xml:space="preserve">https://www.youtube.com/watch?v=HSozqaVcOU8</w:t>
        </w:r>
      </w:hyperlink>
      <w:r w:rsidDel="00000000" w:rsidR="00000000" w:rsidRPr="00000000">
        <w:rPr>
          <w:rtl w:val="0"/>
        </w:rPr>
      </w:r>
    </w:p>
    <w:p w:rsidR="00000000" w:rsidDel="00000000" w:rsidP="00000000" w:rsidRDefault="00000000" w:rsidRPr="00000000" w14:paraId="0000010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05">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106">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Week 9 (March 30):</w:t>
      </w:r>
      <w:r w:rsidDel="00000000" w:rsidR="00000000" w:rsidRPr="00000000">
        <w:rPr>
          <w:rtl w:val="0"/>
        </w:rPr>
      </w:r>
    </w:p>
    <w:p w:rsidR="00000000" w:rsidDel="00000000" w:rsidP="00000000" w:rsidRDefault="00000000" w:rsidRPr="00000000" w14:paraId="00000107">
      <w:pPr>
        <w:pBdr>
          <w:top w:color="000000" w:space="1" w:sz="4" w:val="single"/>
          <w:left w:color="000000" w:space="4" w:sz="4" w:val="single"/>
          <w:bottom w:color="000000" w:space="1" w:sz="4" w:val="single"/>
          <w:right w:color="000000" w:space="4" w:sz="4" w:val="single"/>
          <w:between w:space="0" w:sz="0" w:val="nil"/>
        </w:pBdr>
        <w:jc w:val="center"/>
        <w:rPr>
          <w:color w:val="000000"/>
        </w:rPr>
      </w:pPr>
      <w:r w:rsidDel="00000000" w:rsidR="00000000" w:rsidRPr="00000000">
        <w:rPr>
          <w:b w:val="1"/>
          <w:color w:val="000000"/>
          <w:rtl w:val="0"/>
        </w:rPr>
        <w:t xml:space="preserve">The Rationality and Morality of Mass Killing</w:t>
      </w:r>
      <w:r w:rsidDel="00000000" w:rsidR="00000000" w:rsidRPr="00000000">
        <w:rPr>
          <w:rtl w:val="0"/>
        </w:rPr>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160" w:line="256" w:lineRule="auto"/>
        <w:rPr>
          <w:color w:val="000000"/>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Jeff McMahan, “The Morality of Participation in an Unjust War” in </w:t>
      </w:r>
      <w:r w:rsidDel="00000000" w:rsidR="00000000" w:rsidRPr="00000000">
        <w:rPr>
          <w:i w:val="1"/>
          <w:rtl w:val="0"/>
        </w:rPr>
        <w:t xml:space="preserve">Killing in War</w:t>
      </w:r>
      <w:r w:rsidDel="00000000" w:rsidR="00000000" w:rsidRPr="00000000">
        <w:rPr>
          <w:rtl w:val="0"/>
        </w:rPr>
        <w:t xml:space="preserve">, pp.1</w:t>
        <w:tab/>
        <w:t xml:space="preserve">37.</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James Fearon, “Rationalist Explanations for War” in </w:t>
      </w:r>
      <w:r w:rsidDel="00000000" w:rsidR="00000000" w:rsidRPr="00000000">
        <w:rPr>
          <w:i w:val="1"/>
          <w:rtl w:val="0"/>
        </w:rPr>
        <w:t xml:space="preserve">International </w:t>
      </w:r>
      <w:r w:rsidDel="00000000" w:rsidR="00000000" w:rsidRPr="00000000">
        <w:rPr>
          <w:i w:val="1"/>
          <w:rtl w:val="0"/>
        </w:rPr>
        <w:t xml:space="preserve">Organisation</w:t>
      </w:r>
      <w:r w:rsidDel="00000000" w:rsidR="00000000" w:rsidRPr="00000000">
        <w:rPr>
          <w:i w:val="1"/>
          <w:rtl w:val="0"/>
        </w:rPr>
        <w:t xml:space="preserve"> </w:t>
      </w:r>
      <w:r w:rsidDel="00000000" w:rsidR="00000000" w:rsidRPr="00000000">
        <w:rPr>
          <w:rtl w:val="0"/>
        </w:rPr>
        <w:t xml:space="preserve">49, pp.</w:t>
        <w:tab/>
        <w:t xml:space="preserve">379-414.</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Sigmund Freud, “Thoughts for the Time on War and Peace” in </w:t>
      </w:r>
      <w:r w:rsidDel="00000000" w:rsidR="00000000" w:rsidRPr="00000000">
        <w:rPr>
          <w:i w:val="1"/>
          <w:rtl w:val="0"/>
        </w:rPr>
        <w:t xml:space="preserve">Standard Edition of</w:t>
        <w:tab/>
        <w:t xml:space="preserve">Complete Psychological Works: Volume XIV</w:t>
      </w:r>
      <w:r w:rsidDel="00000000" w:rsidR="00000000" w:rsidRPr="00000000">
        <w:rPr>
          <w:rtl w:val="0"/>
        </w:rPr>
        <w:t xml:space="preserve">, pp. 275-300.</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Richard A. Gabriel, “War and Madness” in </w:t>
      </w:r>
      <w:r w:rsidDel="00000000" w:rsidR="00000000" w:rsidRPr="00000000">
        <w:rPr>
          <w:i w:val="1"/>
          <w:rtl w:val="0"/>
        </w:rPr>
        <w:t xml:space="preserve">No More Heroes: Madness and Psychiatry in</w:t>
        <w:tab/>
        <w:t xml:space="preserve">War</w:t>
      </w:r>
      <w:r w:rsidDel="00000000" w:rsidR="00000000" w:rsidRPr="00000000">
        <w:rPr>
          <w:rtl w:val="0"/>
        </w:rPr>
        <w:t xml:space="preserve">, pp. 45-69.</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Recommended:</w:t>
      </w:r>
    </w:p>
    <w:p w:rsidR="00000000" w:rsidDel="00000000" w:rsidP="00000000" w:rsidRDefault="00000000" w:rsidRPr="00000000" w14:paraId="00000113">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Fog of War - Eleven Lessons from the Life of Robert S McNamara, https://www.youtube.com/watch?v=MHdMeHxDg90&amp;list=PLN-MLv-79blY6K6eeQc45LtFudyDzhN7_</w:t>
      </w:r>
    </w:p>
    <w:p w:rsidR="00000000" w:rsidDel="00000000" w:rsidP="00000000" w:rsidRDefault="00000000" w:rsidRPr="00000000" w14:paraId="0000011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left" w:pos="90"/>
        </w:tabs>
        <w:jc w:val="center"/>
        <w:rPr>
          <w:color w:val="000000"/>
        </w:rPr>
      </w:pPr>
      <w:r w:rsidDel="00000000" w:rsidR="00000000" w:rsidRPr="00000000">
        <w:rPr>
          <w:rtl w:val="0"/>
        </w:rPr>
      </w:r>
    </w:p>
    <w:p w:rsidR="00000000" w:rsidDel="00000000" w:rsidP="00000000" w:rsidRDefault="00000000" w:rsidRPr="00000000" w14:paraId="00000117">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Week 10 (April 6):</w:t>
      </w:r>
      <w:r w:rsidDel="00000000" w:rsidR="00000000" w:rsidRPr="00000000">
        <w:rPr>
          <w:rtl w:val="0"/>
        </w:rPr>
      </w:r>
    </w:p>
    <w:p w:rsidR="00000000" w:rsidDel="00000000" w:rsidP="00000000" w:rsidRDefault="00000000" w:rsidRPr="00000000" w14:paraId="00000118">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The “-isms”: </w:t>
      </w:r>
      <w:r w:rsidDel="00000000" w:rsidR="00000000" w:rsidRPr="00000000">
        <w:rPr>
          <w:rtl w:val="0"/>
        </w:rPr>
      </w:r>
    </w:p>
    <w:p w:rsidR="00000000" w:rsidDel="00000000" w:rsidP="00000000" w:rsidRDefault="00000000" w:rsidRPr="00000000" w14:paraId="00000119">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Racist, Colonial and anti-Colonial Fanatics</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left" w:pos="0"/>
        </w:tabs>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Karl Marx, “On Imperialism in India” in </w:t>
      </w:r>
      <w:r w:rsidDel="00000000" w:rsidR="00000000" w:rsidRPr="00000000">
        <w:rPr>
          <w:i w:val="1"/>
          <w:color w:val="000000"/>
          <w:rtl w:val="0"/>
        </w:rPr>
        <w:t xml:space="preserve">The Marx-Engels Reader (2</w:t>
      </w:r>
      <w:r w:rsidDel="00000000" w:rsidR="00000000" w:rsidRPr="00000000">
        <w:rPr>
          <w:i w:val="1"/>
          <w:color w:val="000000"/>
          <w:vertAlign w:val="superscript"/>
          <w:rtl w:val="0"/>
        </w:rPr>
        <w:t xml:space="preserve">nd</w:t>
      </w:r>
      <w:r w:rsidDel="00000000" w:rsidR="00000000" w:rsidRPr="00000000">
        <w:rPr>
          <w:i w:val="1"/>
          <w:color w:val="000000"/>
          <w:rtl w:val="0"/>
        </w:rPr>
        <w:t xml:space="preserve"> Edition)</w:t>
      </w:r>
      <w:r w:rsidDel="00000000" w:rsidR="00000000" w:rsidRPr="00000000">
        <w:rPr>
          <w:color w:val="000000"/>
          <w:rtl w:val="0"/>
        </w:rPr>
        <w:t xml:space="preserve">, pp. 653</w:t>
        <w:tab/>
        <w:t xml:space="preserve">665.</w:t>
      </w:r>
    </w:p>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V.G. Kiernan, “Indian Wars” in </w:t>
      </w:r>
      <w:r w:rsidDel="00000000" w:rsidR="00000000" w:rsidRPr="00000000">
        <w:rPr>
          <w:i w:val="1"/>
          <w:color w:val="000000"/>
          <w:rtl w:val="0"/>
        </w:rPr>
        <w:t xml:space="preserve">European Empires from Conquest to Collapse</w:t>
      </w:r>
      <w:r w:rsidDel="00000000" w:rsidR="00000000" w:rsidRPr="00000000">
        <w:rPr>
          <w:color w:val="000000"/>
          <w:rtl w:val="0"/>
        </w:rPr>
        <w:t xml:space="preserve">, pp.37-57.</w:t>
      </w:r>
    </w:p>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John Darwin, “Empire and Ethnicity” in </w:t>
      </w:r>
      <w:r w:rsidDel="00000000" w:rsidR="00000000" w:rsidRPr="00000000">
        <w:rPr>
          <w:i w:val="1"/>
          <w:color w:val="000000"/>
          <w:rtl w:val="0"/>
        </w:rPr>
        <w:t xml:space="preserve">Nationalism and War</w:t>
      </w:r>
      <w:r w:rsidDel="00000000" w:rsidR="00000000" w:rsidRPr="00000000">
        <w:rPr>
          <w:color w:val="000000"/>
          <w:rtl w:val="0"/>
        </w:rPr>
        <w:t xml:space="preserve">, pp.147-171.</w:t>
      </w:r>
    </w:p>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Frederickson, </w:t>
      </w:r>
      <w:r w:rsidDel="00000000" w:rsidR="00000000" w:rsidRPr="00000000">
        <w:rPr>
          <w:i w:val="1"/>
          <w:color w:val="000000"/>
          <w:rtl w:val="0"/>
        </w:rPr>
        <w:t xml:space="preserve">Racism: A Short Introduction</w:t>
      </w:r>
      <w:r w:rsidDel="00000000" w:rsidR="00000000" w:rsidRPr="00000000">
        <w:rPr>
          <w:color w:val="000000"/>
          <w:rtl w:val="0"/>
        </w:rPr>
        <w:t xml:space="preserve">, “Climax and Retreat,”</w:t>
      </w:r>
      <w:r w:rsidDel="00000000" w:rsidR="00000000" w:rsidRPr="00000000">
        <w:rPr>
          <w:i w:val="1"/>
          <w:color w:val="000000"/>
          <w:rtl w:val="0"/>
        </w:rPr>
        <w:t xml:space="preserve"> </w:t>
      </w:r>
      <w:r w:rsidDel="00000000" w:rsidR="00000000" w:rsidRPr="00000000">
        <w:rPr>
          <w:color w:val="000000"/>
          <w:rtl w:val="0"/>
        </w:rPr>
        <w:t xml:space="preserve">pp.99-138.</w:t>
      </w:r>
    </w:p>
    <w:p w:rsidR="00000000" w:rsidDel="00000000" w:rsidP="00000000" w:rsidRDefault="00000000" w:rsidRPr="00000000" w14:paraId="00000123">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24">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Philip Knightley, “Algeria is French 1954-1962” in </w:t>
      </w:r>
      <w:r w:rsidDel="00000000" w:rsidR="00000000" w:rsidRPr="00000000">
        <w:rPr>
          <w:i w:val="1"/>
          <w:color w:val="000000"/>
          <w:rtl w:val="0"/>
        </w:rPr>
        <w:t xml:space="preserve">The First Casualty: The War</w:t>
        <w:tab/>
        <w:t xml:space="preserve">Correspondent as Hero and Myth-Maker from the Crimea to Iraq</w:t>
      </w:r>
      <w:r w:rsidDel="00000000" w:rsidR="00000000" w:rsidRPr="00000000">
        <w:rPr>
          <w:color w:val="000000"/>
          <w:rtl w:val="0"/>
        </w:rPr>
        <w:t xml:space="preserve">, pp. 391-408.</w:t>
      </w:r>
    </w:p>
    <w:p w:rsidR="00000000" w:rsidDel="00000000" w:rsidP="00000000" w:rsidRDefault="00000000" w:rsidRPr="00000000" w14:paraId="00000125">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26">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28">
      <w:pPr>
        <w:pBdr>
          <w:top w:space="0" w:sz="0" w:val="nil"/>
          <w:left w:space="0" w:sz="0" w:val="nil"/>
          <w:bottom w:space="0" w:sz="0" w:val="nil"/>
          <w:right w:space="0" w:sz="0" w:val="nil"/>
          <w:between w:space="0" w:sz="0" w:val="nil"/>
        </w:pBdr>
        <w:tabs>
          <w:tab w:val="left" w:pos="90"/>
        </w:tabs>
        <w:ind w:left="360" w:firstLine="0"/>
        <w:jc w:val="center"/>
        <w:rPr>
          <w:color w:val="000000"/>
        </w:rPr>
      </w:pPr>
      <w:r w:rsidDel="00000000" w:rsidR="00000000" w:rsidRPr="00000000">
        <w:rPr>
          <w:rtl w:val="0"/>
        </w:rPr>
      </w:r>
    </w:p>
    <w:p w:rsidR="00000000" w:rsidDel="00000000" w:rsidP="00000000" w:rsidRDefault="00000000" w:rsidRPr="00000000" w14:paraId="00000129">
      <w:pPr>
        <w:pBdr>
          <w:top w:color="000000" w:space="1" w:sz="4" w:val="single"/>
          <w:left w:color="000000" w:space="4" w:sz="4" w:val="single"/>
          <w:bottom w:color="000000" w:space="1" w:sz="4" w:val="single"/>
          <w:right w:color="000000" w:space="4" w:sz="4" w:val="single"/>
          <w:between w:space="0" w:sz="0" w:val="nil"/>
        </w:pBdr>
        <w:tabs>
          <w:tab w:val="left" w:pos="0"/>
        </w:tabs>
        <w:jc w:val="center"/>
        <w:rPr>
          <w:color w:val="000000"/>
        </w:rPr>
      </w:pPr>
      <w:r w:rsidDel="00000000" w:rsidR="00000000" w:rsidRPr="00000000">
        <w:rPr>
          <w:b w:val="1"/>
          <w:color w:val="000000"/>
          <w:rtl w:val="0"/>
        </w:rPr>
        <w:t xml:space="preserve">Week 11 (April 13):</w:t>
      </w:r>
      <w:r w:rsidDel="00000000" w:rsidR="00000000" w:rsidRPr="00000000">
        <w:rPr>
          <w:rtl w:val="0"/>
        </w:rPr>
      </w:r>
    </w:p>
    <w:p w:rsidR="00000000" w:rsidDel="00000000" w:rsidP="00000000" w:rsidRDefault="00000000" w:rsidRPr="00000000" w14:paraId="0000012A">
      <w:pPr>
        <w:pBdr>
          <w:top w:color="000000" w:space="1" w:sz="4" w:val="single"/>
          <w:left w:color="000000" w:space="4" w:sz="4" w:val="single"/>
          <w:bottom w:color="000000" w:space="1" w:sz="4" w:val="single"/>
          <w:right w:color="000000" w:space="4" w:sz="4" w:val="single"/>
          <w:between w:space="0" w:sz="0" w:val="nil"/>
        </w:pBdr>
        <w:tabs>
          <w:tab w:val="left" w:pos="0"/>
        </w:tabs>
        <w:jc w:val="center"/>
        <w:rPr>
          <w:color w:val="000000"/>
        </w:rPr>
      </w:pPr>
      <w:r w:rsidDel="00000000" w:rsidR="00000000" w:rsidRPr="00000000">
        <w:rPr>
          <w:b w:val="1"/>
          <w:color w:val="000000"/>
          <w:rtl w:val="0"/>
        </w:rPr>
        <w:t xml:space="preserve">Weaponizing Images</w:t>
      </w:r>
      <w:r w:rsidDel="00000000" w:rsidR="00000000" w:rsidRPr="00000000">
        <w:rPr>
          <w:rtl w:val="0"/>
        </w:rPr>
      </w:r>
    </w:p>
    <w:p w:rsidR="00000000" w:rsidDel="00000000" w:rsidP="00000000" w:rsidRDefault="00000000" w:rsidRPr="00000000" w14:paraId="0000012B">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Susan Sontag, </w:t>
      </w:r>
      <w:r w:rsidDel="00000000" w:rsidR="00000000" w:rsidRPr="00000000">
        <w:rPr>
          <w:i w:val="1"/>
          <w:color w:val="000000"/>
          <w:rtl w:val="0"/>
        </w:rPr>
        <w:t xml:space="preserve">Regarding the pain of others</w:t>
      </w:r>
      <w:r w:rsidDel="00000000" w:rsidR="00000000" w:rsidRPr="00000000">
        <w:rPr>
          <w:color w:val="000000"/>
          <w:rtl w:val="0"/>
        </w:rPr>
        <w:t xml:space="preserve">, London : Penguin, 2003, 17-32, 66-90.</w:t>
      </w:r>
    </w:p>
    <w:p w:rsidR="00000000" w:rsidDel="00000000" w:rsidP="00000000" w:rsidRDefault="00000000" w:rsidRPr="00000000" w14:paraId="0000012D">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2E">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Cornelia Brink, ‘Secular Icons: Looking at Photographs from Nazi Concentration </w:t>
      </w:r>
    </w:p>
    <w:p w:rsidR="00000000" w:rsidDel="00000000" w:rsidP="00000000" w:rsidRDefault="00000000" w:rsidRPr="00000000" w14:paraId="0000012F">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ab/>
        <w:t xml:space="preserve">Camps,’ History and Memory 12(1) (2000): 135–150.</w:t>
      </w:r>
    </w:p>
    <w:p w:rsidR="00000000" w:rsidDel="00000000" w:rsidP="00000000" w:rsidRDefault="00000000" w:rsidRPr="00000000" w14:paraId="00000130">
      <w:pPr>
        <w:pBdr>
          <w:top w:space="0" w:sz="0" w:val="nil"/>
          <w:left w:space="0" w:sz="0" w:val="nil"/>
          <w:bottom w:space="0" w:sz="0" w:val="nil"/>
          <w:right w:space="0" w:sz="0" w:val="nil"/>
          <w:between w:space="0" w:sz="0" w:val="nil"/>
        </w:pBdr>
        <w:tabs>
          <w:tab w:val="left" w:pos="0"/>
        </w:tabs>
        <w:ind w:left="720" w:firstLine="0"/>
        <w:rPr>
          <w:color w:val="000000"/>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Vladimir Petrović. Power(lessness) of Atrocity Images: Bijeljina Photos between </w:t>
      </w:r>
    </w:p>
    <w:p w:rsidR="00000000" w:rsidDel="00000000" w:rsidP="00000000" w:rsidRDefault="00000000" w:rsidRPr="00000000" w14:paraId="00000132">
      <w:pPr>
        <w:pBdr>
          <w:top w:space="0" w:sz="0" w:val="nil"/>
          <w:left w:space="0" w:sz="0" w:val="nil"/>
          <w:bottom w:space="0" w:sz="0" w:val="nil"/>
          <w:right w:space="0" w:sz="0" w:val="nil"/>
          <w:between w:space="0" w:sz="0" w:val="nil"/>
        </w:pBdr>
        <w:tabs>
          <w:tab w:val="left" w:pos="0"/>
        </w:tabs>
        <w:ind w:left="720" w:firstLine="0"/>
        <w:rPr>
          <w:color w:val="000000"/>
        </w:rPr>
      </w:pPr>
      <w:r w:rsidDel="00000000" w:rsidR="00000000" w:rsidRPr="00000000">
        <w:rPr>
          <w:color w:val="000000"/>
          <w:rtl w:val="0"/>
        </w:rPr>
        <w:t xml:space="preserve">Perpetration and Prosecution of War Crimes in the Former Yugoslavia, International </w:t>
      </w:r>
      <w:r w:rsidDel="00000000" w:rsidR="00000000" w:rsidRPr="00000000">
        <w:rPr>
          <w:i w:val="1"/>
          <w:color w:val="000000"/>
          <w:rtl w:val="0"/>
        </w:rPr>
        <w:t xml:space="preserve">Journal for Transitional Justice</w:t>
      </w:r>
      <w:r w:rsidDel="00000000" w:rsidR="00000000" w:rsidRPr="00000000">
        <w:rPr>
          <w:color w:val="000000"/>
          <w:rtl w:val="0"/>
        </w:rPr>
        <w:t xml:space="preserve"> 2015/2, 367-385.</w:t>
      </w:r>
    </w:p>
    <w:p w:rsidR="00000000" w:rsidDel="00000000" w:rsidP="00000000" w:rsidRDefault="00000000" w:rsidRPr="00000000" w14:paraId="00000133">
      <w:pPr>
        <w:pBdr>
          <w:top w:space="0" w:sz="0" w:val="nil"/>
          <w:left w:space="0" w:sz="0" w:val="nil"/>
          <w:bottom w:space="0" w:sz="0" w:val="nil"/>
          <w:right w:space="0" w:sz="0" w:val="nil"/>
          <w:between w:space="0" w:sz="0" w:val="nil"/>
        </w:pBdr>
        <w:tabs>
          <w:tab w:val="left" w:pos="0"/>
        </w:tabs>
        <w:ind w:left="720" w:firstLine="0"/>
        <w:rPr>
          <w:color w:val="00000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Recommended: </w:t>
      </w:r>
    </w:p>
    <w:p w:rsidR="00000000" w:rsidDel="00000000" w:rsidP="00000000" w:rsidRDefault="00000000" w:rsidRPr="00000000" w14:paraId="00000136">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Barbie Zelizer, “From the Image of Record to the Image of Memory: Holocaust </w:t>
      </w:r>
    </w:p>
    <w:p w:rsidR="00000000" w:rsidDel="00000000" w:rsidP="00000000" w:rsidRDefault="00000000" w:rsidRPr="00000000" w14:paraId="00000138">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ab/>
        <w:t xml:space="preserve">Photography, Then and Now.” in Bonnie Brennen and Hanno Hardt, eds., </w:t>
      </w:r>
    </w:p>
    <w:p w:rsidR="00000000" w:rsidDel="00000000" w:rsidP="00000000" w:rsidRDefault="00000000" w:rsidRPr="00000000" w14:paraId="00000139">
      <w:pPr>
        <w:pBdr>
          <w:top w:space="0" w:sz="0" w:val="nil"/>
          <w:left w:space="0" w:sz="0" w:val="nil"/>
          <w:bottom w:space="0" w:sz="0" w:val="nil"/>
          <w:right w:space="0" w:sz="0" w:val="nil"/>
          <w:between w:space="0" w:sz="0" w:val="nil"/>
        </w:pBdr>
        <w:tabs>
          <w:tab w:val="left" w:pos="0"/>
        </w:tabs>
        <w:ind w:left="720" w:firstLine="0"/>
        <w:rPr>
          <w:color w:val="000000"/>
        </w:rPr>
      </w:pPr>
      <w:r w:rsidDel="00000000" w:rsidR="00000000" w:rsidRPr="00000000">
        <w:rPr>
          <w:color w:val="000000"/>
          <w:rtl w:val="0"/>
        </w:rPr>
        <w:t xml:space="preserve">Picturing the Past: Media, History, and Photography, 1999 (pp. 98-121). University of Illinois Press</w:t>
      </w:r>
    </w:p>
    <w:p w:rsidR="00000000" w:rsidDel="00000000" w:rsidP="00000000" w:rsidRDefault="00000000" w:rsidRPr="00000000" w14:paraId="0000013A">
      <w:pPr>
        <w:pBdr>
          <w:top w:space="0" w:sz="0" w:val="nil"/>
          <w:left w:space="0" w:sz="0" w:val="nil"/>
          <w:bottom w:space="0" w:sz="0" w:val="nil"/>
          <w:right w:space="0" w:sz="0" w:val="nil"/>
          <w:between w:space="0" w:sz="0" w:val="nil"/>
        </w:pBdr>
        <w:tabs>
          <w:tab w:val="left" w:pos="0"/>
        </w:tabs>
        <w:ind w:left="720" w:firstLine="0"/>
        <w:rPr>
          <w:color w:val="000000"/>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David King, </w:t>
      </w:r>
      <w:r w:rsidDel="00000000" w:rsidR="00000000" w:rsidRPr="00000000">
        <w:rPr>
          <w:i w:val="1"/>
          <w:rtl w:val="0"/>
        </w:rPr>
        <w:t xml:space="preserve">Commissar Vanishes: The Falsification of Photographs and Art in Stalin's. </w:t>
      </w:r>
      <w:r w:rsidDel="00000000" w:rsidR="00000000" w:rsidRPr="00000000">
        <w:rPr>
          <w:rtl w:val="0"/>
        </w:rPr>
      </w:r>
    </w:p>
    <w:p w:rsidR="00000000" w:rsidDel="00000000" w:rsidP="00000000" w:rsidRDefault="00000000" w:rsidRPr="00000000" w14:paraId="0000013C">
      <w:pPr>
        <w:ind w:firstLine="426"/>
        <w:rPr/>
      </w:pPr>
      <w:r w:rsidDel="00000000" w:rsidR="00000000" w:rsidRPr="00000000">
        <w:rPr>
          <w:i w:val="1"/>
          <w:rtl w:val="0"/>
        </w:rPr>
        <w:t xml:space="preserve">Russia</w:t>
      </w:r>
      <w:r w:rsidDel="00000000" w:rsidR="00000000" w:rsidRPr="00000000">
        <w:rPr>
          <w:rtl w:val="0"/>
        </w:rPr>
        <w:t xml:space="preserve">, Tate Publishing, 2014, 10-17, 79-93, 126-130, 220-4. </w:t>
      </w:r>
      <w:hyperlink r:id="rId23">
        <w:r w:rsidDel="00000000" w:rsidR="00000000" w:rsidRPr="00000000">
          <w:rPr>
            <w:color w:val="0000ff"/>
            <w:u w:val="single"/>
            <w:rtl w:val="0"/>
          </w:rPr>
          <w:t xml:space="preserve">https://www.indexoncensorship.org/2017/08/commissar-vanishes/</w:t>
        </w:r>
      </w:hyperlink>
      <w:r w:rsidDel="00000000" w:rsidR="00000000" w:rsidRPr="00000000">
        <w:rPr>
          <w:rtl w:val="0"/>
        </w:rPr>
        <w:t xml:space="preserve"> </w:t>
      </w:r>
    </w:p>
    <w:p w:rsidR="00000000" w:rsidDel="00000000" w:rsidP="00000000" w:rsidRDefault="00000000" w:rsidRPr="00000000" w14:paraId="0000013D">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Susie Linfield, The Cruel Radiance: Photography and Political Violence (Chicago, IL: </w:t>
      </w:r>
    </w:p>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ab/>
        <w:t xml:space="preserve">University of Chicago Press, 2010). 52-81.</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color w:val="000000"/>
          <w:rtl w:val="0"/>
        </w:rPr>
        <w:t xml:space="preserve">Photojournalist Ron Haviv interview (2001)  </w:t>
      </w:r>
      <w:hyperlink r:id="rId24">
        <w:r w:rsidDel="00000000" w:rsidR="00000000" w:rsidRPr="00000000">
          <w:rPr>
            <w:color w:val="0000ff"/>
            <w:u w:val="single"/>
            <w:rtl w:val="0"/>
          </w:rPr>
          <w:t xml:space="preserve">https://www.youtube.com/watch?v=Ykm_MklxX8Y</w:t>
        </w:r>
      </w:hyperlink>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tabs>
          <w:tab w:val="left" w:pos="0"/>
        </w:tabs>
        <w:rPr>
          <w:color w:val="000000"/>
        </w:rPr>
      </w:pPr>
      <w:r w:rsidDel="00000000" w:rsidR="00000000" w:rsidRPr="00000000">
        <w:rPr>
          <w:rtl w:val="0"/>
        </w:rPr>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left" w:pos="90"/>
        </w:tabs>
        <w:jc w:val="center"/>
        <w:rPr>
          <w:color w:val="000000"/>
        </w:rPr>
      </w:pPr>
      <w:r w:rsidDel="00000000" w:rsidR="00000000" w:rsidRPr="00000000">
        <w:rPr>
          <w:rtl w:val="0"/>
        </w:rPr>
      </w:r>
    </w:p>
    <w:p w:rsidR="00000000" w:rsidDel="00000000" w:rsidP="00000000" w:rsidRDefault="00000000" w:rsidRPr="00000000" w14:paraId="00000144">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Week 12 (April 20):</w:t>
      </w:r>
      <w:r w:rsidDel="00000000" w:rsidR="00000000" w:rsidRPr="00000000">
        <w:rPr>
          <w:rtl w:val="0"/>
        </w:rPr>
      </w:r>
    </w:p>
    <w:p w:rsidR="00000000" w:rsidDel="00000000" w:rsidP="00000000" w:rsidRDefault="00000000" w:rsidRPr="00000000" w14:paraId="00000145">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The Extremism of Displacement:</w:t>
      </w:r>
      <w:r w:rsidDel="00000000" w:rsidR="00000000" w:rsidRPr="00000000">
        <w:rPr>
          <w:rtl w:val="0"/>
        </w:rPr>
      </w:r>
    </w:p>
    <w:p w:rsidR="00000000" w:rsidDel="00000000" w:rsidP="00000000" w:rsidRDefault="00000000" w:rsidRPr="00000000" w14:paraId="00000146">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 Refugees as Fanatics and as Victims of Fanaticism</w:t>
      </w: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left" w:pos="90"/>
        </w:tabs>
        <w:jc w:val="center"/>
        <w:rPr>
          <w:color w:val="000000"/>
        </w:rPr>
      </w:pPr>
      <w:r w:rsidDel="00000000" w:rsidR="00000000" w:rsidRPr="00000000">
        <w:rPr>
          <w:rtl w:val="0"/>
        </w:rPr>
      </w:r>
    </w:p>
    <w:p w:rsidR="00000000" w:rsidDel="00000000" w:rsidP="00000000" w:rsidRDefault="00000000" w:rsidRPr="00000000" w14:paraId="0000014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Gatrell, P. 2008. “Refugees and Forced Migrants during the First World War,” </w:t>
      </w:r>
    </w:p>
    <w:p w:rsidR="00000000" w:rsidDel="00000000" w:rsidP="00000000" w:rsidRDefault="00000000" w:rsidRPr="00000000" w14:paraId="0000014A">
      <w:pPr>
        <w:pBdr>
          <w:top w:space="0" w:sz="0" w:val="nil"/>
          <w:left w:space="0" w:sz="0" w:val="nil"/>
          <w:bottom w:space="0" w:sz="0" w:val="nil"/>
          <w:right w:space="0" w:sz="0" w:val="nil"/>
          <w:between w:space="0" w:sz="0" w:val="nil"/>
        </w:pBdr>
        <w:ind w:firstLine="720"/>
        <w:rPr>
          <w:color w:val="000000"/>
        </w:rPr>
      </w:pPr>
      <w:r w:rsidDel="00000000" w:rsidR="00000000" w:rsidRPr="00000000">
        <w:rPr>
          <w:i w:val="1"/>
          <w:color w:val="000000"/>
          <w:rtl w:val="0"/>
        </w:rPr>
        <w:t xml:space="preserve">Immigrants &amp; Minorities</w:t>
      </w:r>
      <w:r w:rsidDel="00000000" w:rsidR="00000000" w:rsidRPr="00000000">
        <w:rPr>
          <w:color w:val="000000"/>
          <w:rtl w:val="0"/>
        </w:rPr>
        <w:t xml:space="preserve">, 82-110.</w:t>
      </w:r>
    </w:p>
    <w:p w:rsidR="00000000" w:rsidDel="00000000" w:rsidP="00000000" w:rsidRDefault="00000000" w:rsidRPr="00000000" w14:paraId="0000014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Bade, K.J. “The Second World War and the Post-War Decade” in </w:t>
      </w:r>
      <w:r w:rsidDel="00000000" w:rsidR="00000000" w:rsidRPr="00000000">
        <w:rPr>
          <w:i w:val="1"/>
          <w:color w:val="000000"/>
          <w:rtl w:val="0"/>
        </w:rPr>
        <w:t xml:space="preserve">Migration in European </w:t>
      </w:r>
      <w:r w:rsidDel="00000000" w:rsidR="00000000" w:rsidRPr="00000000">
        <w:rPr>
          <w:rtl w:val="0"/>
        </w:rPr>
      </w:r>
    </w:p>
    <w:p w:rsidR="00000000" w:rsidDel="00000000" w:rsidP="00000000" w:rsidRDefault="00000000" w:rsidRPr="00000000" w14:paraId="0000014D">
      <w:pPr>
        <w:pBdr>
          <w:top w:space="0" w:sz="0" w:val="nil"/>
          <w:left w:space="0" w:sz="0" w:val="nil"/>
          <w:bottom w:space="0" w:sz="0" w:val="nil"/>
          <w:right w:space="0" w:sz="0" w:val="nil"/>
          <w:between w:space="0" w:sz="0" w:val="nil"/>
        </w:pBdr>
        <w:ind w:firstLine="720"/>
        <w:rPr>
          <w:color w:val="000000"/>
        </w:rPr>
      </w:pPr>
      <w:r w:rsidDel="00000000" w:rsidR="00000000" w:rsidRPr="00000000">
        <w:rPr>
          <w:i w:val="1"/>
          <w:color w:val="000000"/>
          <w:rtl w:val="0"/>
        </w:rPr>
        <w:t xml:space="preserve">History</w:t>
      </w:r>
      <w:r w:rsidDel="00000000" w:rsidR="00000000" w:rsidRPr="00000000">
        <w:rPr>
          <w:color w:val="000000"/>
          <w:rtl w:val="0"/>
        </w:rPr>
        <w:t xml:space="preserve">, pp.204-216.</w:t>
      </w:r>
    </w:p>
    <w:p w:rsidR="00000000" w:rsidDel="00000000" w:rsidP="00000000" w:rsidRDefault="00000000" w:rsidRPr="00000000" w14:paraId="0000014E">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Zolberg, A.R. Suhrke, A. and Aguayo, S. “Ethnic Conflict in the New States of Sub-</w:t>
      </w:r>
    </w:p>
    <w:p w:rsidR="00000000" w:rsidDel="00000000" w:rsidP="00000000" w:rsidRDefault="00000000" w:rsidRPr="00000000" w14:paraId="00000150">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Saharan Africa” in </w:t>
      </w:r>
      <w:r w:rsidDel="00000000" w:rsidR="00000000" w:rsidRPr="00000000">
        <w:rPr>
          <w:i w:val="1"/>
          <w:color w:val="000000"/>
          <w:rtl w:val="0"/>
        </w:rPr>
        <w:t xml:space="preserve">Escape from Violence: Conflict and the Refugee Crisis in the </w:t>
      </w: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ind w:firstLine="720"/>
        <w:rPr>
          <w:color w:val="000000"/>
        </w:rPr>
      </w:pPr>
      <w:r w:rsidDel="00000000" w:rsidR="00000000" w:rsidRPr="00000000">
        <w:rPr>
          <w:i w:val="1"/>
          <w:color w:val="000000"/>
          <w:rtl w:val="0"/>
        </w:rPr>
        <w:t xml:space="preserve">Developing World</w:t>
      </w:r>
      <w:r w:rsidDel="00000000" w:rsidR="00000000" w:rsidRPr="00000000">
        <w:rPr>
          <w:color w:val="000000"/>
          <w:rtl w:val="0"/>
        </w:rPr>
        <w:t xml:space="preserve">,</w:t>
      </w:r>
      <w:r w:rsidDel="00000000" w:rsidR="00000000" w:rsidRPr="00000000">
        <w:rPr>
          <w:i w:val="1"/>
          <w:color w:val="000000"/>
          <w:rtl w:val="0"/>
        </w:rPr>
        <w:t xml:space="preserve"> </w:t>
      </w:r>
      <w:r w:rsidDel="00000000" w:rsidR="00000000" w:rsidRPr="00000000">
        <w:rPr>
          <w:color w:val="000000"/>
          <w:rtl w:val="0"/>
        </w:rPr>
        <w:t xml:space="preserve">pp.37-72.</w:t>
      </w:r>
    </w:p>
    <w:p w:rsidR="00000000" w:rsidDel="00000000" w:rsidP="00000000" w:rsidRDefault="00000000" w:rsidRPr="00000000" w14:paraId="00000152">
      <w:pPr>
        <w:pBdr>
          <w:top w:space="0" w:sz="0" w:val="nil"/>
          <w:left w:space="0" w:sz="0" w:val="nil"/>
          <w:bottom w:space="0" w:sz="0" w:val="nil"/>
          <w:right w:space="0" w:sz="0" w:val="nil"/>
          <w:between w:space="0" w:sz="0" w:val="nil"/>
        </w:pBdr>
        <w:tabs>
          <w:tab w:val="left" w:pos="90"/>
        </w:tabs>
        <w:ind w:left="360" w:firstLine="0"/>
        <w:jc w:val="center"/>
        <w:rPr>
          <w:color w:val="000000"/>
        </w:rPr>
      </w:pPr>
      <w:r w:rsidDel="00000000" w:rsidR="00000000" w:rsidRPr="00000000">
        <w:rPr>
          <w:rtl w:val="0"/>
        </w:rPr>
      </w:r>
    </w:p>
    <w:p w:rsidR="00000000" w:rsidDel="00000000" w:rsidP="00000000" w:rsidRDefault="00000000" w:rsidRPr="00000000" w14:paraId="00000153">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54">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Week 13 (April 27): </w:t>
      </w:r>
      <w:r w:rsidDel="00000000" w:rsidR="00000000" w:rsidRPr="00000000">
        <w:rPr>
          <w:color w:val="000000"/>
          <w:rtl w:val="0"/>
        </w:rPr>
        <w:t xml:space="preserve"> </w:t>
      </w:r>
    </w:p>
    <w:p w:rsidR="00000000" w:rsidDel="00000000" w:rsidP="00000000" w:rsidRDefault="00000000" w:rsidRPr="00000000" w14:paraId="00000155">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Tamed Extremism: </w:t>
      </w:r>
      <w:r w:rsidDel="00000000" w:rsidR="00000000" w:rsidRPr="00000000">
        <w:rPr>
          <w:rtl w:val="0"/>
        </w:rPr>
      </w:r>
    </w:p>
    <w:p w:rsidR="00000000" w:rsidDel="00000000" w:rsidP="00000000" w:rsidRDefault="00000000" w:rsidRPr="00000000" w14:paraId="00000156">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Dreams of 1968</w:t>
      </w: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58">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color w:val="000000"/>
          <w:rtl w:val="0"/>
        </w:rPr>
        <w:t xml:space="preserve">Charles Tilly, “Twentieth-Century Expansion and Transformation” in </w:t>
      </w:r>
      <w:r w:rsidDel="00000000" w:rsidR="00000000" w:rsidRPr="00000000">
        <w:rPr>
          <w:i w:val="1"/>
          <w:color w:val="000000"/>
          <w:rtl w:val="0"/>
        </w:rPr>
        <w:t xml:space="preserve">Social Movements,</w:t>
        <w:tab/>
        <w:tab/>
        <w:tab/>
        <w:t xml:space="preserve">1768-2008 (2</w:t>
      </w:r>
      <w:r w:rsidDel="00000000" w:rsidR="00000000" w:rsidRPr="00000000">
        <w:rPr>
          <w:i w:val="1"/>
          <w:color w:val="000000"/>
          <w:vertAlign w:val="superscript"/>
          <w:rtl w:val="0"/>
        </w:rPr>
        <w:t xml:space="preserve">nd</w:t>
      </w:r>
      <w:r w:rsidDel="00000000" w:rsidR="00000000" w:rsidRPr="00000000">
        <w:rPr>
          <w:i w:val="1"/>
          <w:color w:val="000000"/>
          <w:rtl w:val="0"/>
        </w:rPr>
        <w:t xml:space="preserve"> Edition)</w:t>
      </w:r>
      <w:r w:rsidDel="00000000" w:rsidR="00000000" w:rsidRPr="00000000">
        <w:rPr>
          <w:color w:val="000000"/>
          <w:rtl w:val="0"/>
        </w:rPr>
        <w:t xml:space="preserve">, pp. 65-94.</w:t>
      </w:r>
    </w:p>
    <w:p w:rsidR="00000000" w:rsidDel="00000000" w:rsidP="00000000" w:rsidRDefault="00000000" w:rsidRPr="00000000" w14:paraId="00000159">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color w:val="000000"/>
          <w:rtl w:val="0"/>
        </w:rPr>
        <w:t xml:space="preserve">George Katsiaficas, “A Global Analysis of 1968” in </w:t>
      </w:r>
      <w:r w:rsidDel="00000000" w:rsidR="00000000" w:rsidRPr="00000000">
        <w:rPr>
          <w:i w:val="1"/>
          <w:color w:val="000000"/>
          <w:rtl w:val="0"/>
        </w:rPr>
        <w:t xml:space="preserve">The Global Imagination of 1968:</w:t>
        <w:tab/>
        <w:tab/>
        <w:tab/>
        <w:t xml:space="preserve">Revolution and Counterrevolution, </w:t>
      </w:r>
      <w:r w:rsidDel="00000000" w:rsidR="00000000" w:rsidRPr="00000000">
        <w:rPr>
          <w:color w:val="000000"/>
          <w:rtl w:val="0"/>
        </w:rPr>
        <w:t xml:space="preserve">pp.47-58.</w:t>
      </w:r>
    </w:p>
    <w:p w:rsidR="00000000" w:rsidDel="00000000" w:rsidP="00000000" w:rsidRDefault="00000000" w:rsidRPr="00000000" w14:paraId="0000015B">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color w:val="000000"/>
          <w:rtl w:val="0"/>
        </w:rPr>
        <w:t xml:space="preserve">C.W. Mills, “The Decline of the Left” in </w:t>
      </w:r>
      <w:r w:rsidDel="00000000" w:rsidR="00000000" w:rsidRPr="00000000">
        <w:rPr>
          <w:i w:val="1"/>
          <w:color w:val="000000"/>
          <w:rtl w:val="0"/>
        </w:rPr>
        <w:t xml:space="preserve">Power, Politics and People</w:t>
      </w:r>
      <w:r w:rsidDel="00000000" w:rsidR="00000000" w:rsidRPr="00000000">
        <w:rPr>
          <w:color w:val="000000"/>
          <w:rtl w:val="0"/>
        </w:rPr>
        <w:t xml:space="preserve">, pp. 212-236.</w:t>
      </w:r>
    </w:p>
    <w:p w:rsidR="00000000" w:rsidDel="00000000" w:rsidP="00000000" w:rsidRDefault="00000000" w:rsidRPr="00000000" w14:paraId="0000015D">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color w:val="000000"/>
          <w:rtl w:val="0"/>
        </w:rPr>
        <w:t xml:space="preserve">Jeremy Brecher, “The Current Scene” in </w:t>
      </w:r>
      <w:r w:rsidDel="00000000" w:rsidR="00000000" w:rsidRPr="00000000">
        <w:rPr>
          <w:i w:val="1"/>
          <w:color w:val="000000"/>
          <w:rtl w:val="0"/>
        </w:rPr>
        <w:t xml:space="preserve">Strike!</w:t>
      </w:r>
      <w:r w:rsidDel="00000000" w:rsidR="00000000" w:rsidRPr="00000000">
        <w:rPr>
          <w:color w:val="000000"/>
          <w:rtl w:val="0"/>
        </w:rPr>
        <w:t xml:space="preserve">, pp. 284-291.</w:t>
      </w:r>
    </w:p>
    <w:p w:rsidR="00000000" w:rsidDel="00000000" w:rsidP="00000000" w:rsidRDefault="00000000" w:rsidRPr="00000000" w14:paraId="0000015F">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60">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color w:val="000000"/>
          <w:rtl w:val="0"/>
        </w:rPr>
        <w:t xml:space="preserve">Todd Gitlin, “The Media in the Unmaking of the New Left” in </w:t>
      </w:r>
      <w:r w:rsidDel="00000000" w:rsidR="00000000" w:rsidRPr="00000000">
        <w:rPr>
          <w:i w:val="1"/>
          <w:color w:val="000000"/>
          <w:rtl w:val="0"/>
        </w:rPr>
        <w:t xml:space="preserve">The Social Movements </w:t>
        <w:tab/>
        <w:tab/>
        <w:tab/>
        <w:t xml:space="preserve">Reader: Cases and Concepts (2</w:t>
      </w:r>
      <w:r w:rsidDel="00000000" w:rsidR="00000000" w:rsidRPr="00000000">
        <w:rPr>
          <w:i w:val="1"/>
          <w:color w:val="000000"/>
          <w:vertAlign w:val="superscript"/>
          <w:rtl w:val="0"/>
        </w:rPr>
        <w:t xml:space="preserve">nd</w:t>
      </w:r>
      <w:r w:rsidDel="00000000" w:rsidR="00000000" w:rsidRPr="00000000">
        <w:rPr>
          <w:i w:val="1"/>
          <w:color w:val="000000"/>
          <w:rtl w:val="0"/>
        </w:rPr>
        <w:t xml:space="preserve"> Edition)</w:t>
      </w:r>
      <w:r w:rsidDel="00000000" w:rsidR="00000000" w:rsidRPr="00000000">
        <w:rPr>
          <w:color w:val="000000"/>
          <w:rtl w:val="0"/>
        </w:rPr>
        <w:t xml:space="preserve">, pp. 333-344.</w:t>
      </w:r>
    </w:p>
    <w:p w:rsidR="00000000" w:rsidDel="00000000" w:rsidP="00000000" w:rsidRDefault="00000000" w:rsidRPr="00000000" w14:paraId="00000161">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62">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63">
      <w:pPr>
        <w:tabs>
          <w:tab w:val="left" w:pos="0"/>
        </w:tabs>
        <w:rPr/>
      </w:pPr>
      <w:r w:rsidDel="00000000" w:rsidR="00000000" w:rsidRPr="00000000">
        <w:rPr>
          <w:rtl w:val="0"/>
        </w:rPr>
        <w:t xml:space="preserve">Recommended: </w:t>
      </w:r>
    </w:p>
    <w:p w:rsidR="00000000" w:rsidDel="00000000" w:rsidP="00000000" w:rsidRDefault="00000000" w:rsidRPr="00000000" w14:paraId="00000164">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Tariq Ali, “40 Years Later: 1968 and Today,” interview available at:</w:t>
      </w:r>
    </w:p>
    <w:p w:rsidR="00000000" w:rsidDel="00000000" w:rsidP="00000000" w:rsidRDefault="00000000" w:rsidRPr="00000000" w14:paraId="00000166">
      <w:pPr>
        <w:rPr/>
      </w:pPr>
      <w:hyperlink r:id="rId25">
        <w:r w:rsidDel="00000000" w:rsidR="00000000" w:rsidRPr="00000000">
          <w:rPr>
            <w:color w:val="000000"/>
            <w:u w:val="single"/>
            <w:rtl w:val="0"/>
          </w:rPr>
          <w:t xml:space="preserve">https://portside.org/2018-05-24/tariq-ali-1968-and-today</w:t>
        </w:r>
      </w:hyperlink>
      <w:r w:rsidDel="00000000" w:rsidR="00000000" w:rsidRPr="00000000">
        <w:rPr>
          <w:rtl w:val="0"/>
        </w:rPr>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6A">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Week 14 (May 4): </w:t>
      </w:r>
      <w:r w:rsidDel="00000000" w:rsidR="00000000" w:rsidRPr="00000000">
        <w:rPr>
          <w:color w:val="000000"/>
          <w:rtl w:val="0"/>
        </w:rPr>
        <w:t xml:space="preserve"> </w:t>
      </w:r>
    </w:p>
    <w:p w:rsidR="00000000" w:rsidDel="00000000" w:rsidP="00000000" w:rsidRDefault="00000000" w:rsidRPr="00000000" w14:paraId="0000016B">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Breaking the Cycle of Extremism</w:t>
      </w:r>
      <w:r w:rsidDel="00000000" w:rsidR="00000000" w:rsidRPr="00000000">
        <w:rPr>
          <w:rtl w:val="0"/>
        </w:rPr>
      </w:r>
    </w:p>
    <w:p w:rsidR="00000000" w:rsidDel="00000000" w:rsidP="00000000" w:rsidRDefault="00000000" w:rsidRPr="00000000" w14:paraId="0000016C">
      <w:pPr>
        <w:pBdr>
          <w:top w:space="0" w:sz="0" w:val="nil"/>
          <w:left w:space="0" w:sz="0" w:val="nil"/>
          <w:bottom w:space="0" w:sz="0" w:val="nil"/>
          <w:right w:space="0" w:sz="0" w:val="nil"/>
          <w:between w:space="0" w:sz="0" w:val="nil"/>
        </w:pBdr>
        <w:tabs>
          <w:tab w:val="left" w:pos="90"/>
        </w:tabs>
        <w:jc w:val="center"/>
        <w:rPr>
          <w:color w:val="000000"/>
        </w:rPr>
      </w:pPr>
      <w:r w:rsidDel="00000000" w:rsidR="00000000" w:rsidRPr="00000000">
        <w:rPr>
          <w:rtl w:val="0"/>
        </w:rPr>
      </w:r>
    </w:p>
    <w:p w:rsidR="00000000" w:rsidDel="00000000" w:rsidP="00000000" w:rsidRDefault="00000000" w:rsidRPr="00000000" w14:paraId="0000016D">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6E">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Volha Damarad “How big is the disinformation challenge facing us? in </w:t>
      </w:r>
      <w:r w:rsidDel="00000000" w:rsidR="00000000" w:rsidRPr="00000000">
        <w:rPr>
          <w:i w:val="1"/>
          <w:color w:val="000000"/>
          <w:rtl w:val="0"/>
        </w:rPr>
        <w:t xml:space="preserve">Fake for Real: A history of forgery and falsification. </w:t>
      </w:r>
      <w:r w:rsidDel="00000000" w:rsidR="00000000" w:rsidRPr="00000000">
        <w:rPr>
          <w:color w:val="000000"/>
          <w:rtl w:val="0"/>
        </w:rPr>
        <w:t xml:space="preserve">House of European History, Brussels 2020, 188-198.</w:t>
      </w:r>
    </w:p>
    <w:p w:rsidR="00000000" w:rsidDel="00000000" w:rsidP="00000000" w:rsidRDefault="00000000" w:rsidRPr="00000000" w14:paraId="0000016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70">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Douglas Pratt, “Accommodating Diversity: Paradigms and Patterns</w:t>
      </w:r>
      <w:r w:rsidDel="00000000" w:rsidR="00000000" w:rsidRPr="00000000">
        <w:rPr>
          <w:i w:val="1"/>
          <w:color w:val="000000"/>
          <w:rtl w:val="0"/>
        </w:rPr>
        <w:t xml:space="preserve">,”. Religion and </w:t>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ind w:left="720" w:firstLine="0"/>
        <w:rPr>
          <w:color w:val="000000"/>
        </w:rPr>
      </w:pPr>
      <w:r w:rsidDel="00000000" w:rsidR="00000000" w:rsidRPr="00000000">
        <w:rPr>
          <w:i w:val="1"/>
          <w:color w:val="000000"/>
          <w:rtl w:val="0"/>
        </w:rPr>
        <w:t xml:space="preserve">Extremism: Rejecting Diversity</w:t>
      </w:r>
      <w:r w:rsidDel="00000000" w:rsidR="00000000" w:rsidRPr="00000000">
        <w:rPr>
          <w:color w:val="000000"/>
          <w:rtl w:val="0"/>
        </w:rPr>
        <w:t xml:space="preserve">. London, UK ; New York, NY: Bloomsbury Academic, 2018, 13-30.</w:t>
      </w:r>
    </w:p>
    <w:p w:rsidR="00000000" w:rsidDel="00000000" w:rsidP="00000000" w:rsidRDefault="00000000" w:rsidRPr="00000000" w14:paraId="00000172">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73">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Ingram, H. J. “A Brief History of Propaganda during Conflict: Lessons for</w:t>
      </w:r>
    </w:p>
    <w:p w:rsidR="00000000" w:rsidDel="00000000" w:rsidP="00000000" w:rsidRDefault="00000000" w:rsidRPr="00000000" w14:paraId="00000174">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Counter-Terrorism Strategic Communications.” International </w:t>
      </w:r>
      <w:r w:rsidDel="00000000" w:rsidR="00000000" w:rsidRPr="00000000">
        <w:rPr>
          <w:color w:val="000000"/>
          <w:rtl w:val="0"/>
        </w:rPr>
        <w:t xml:space="preserve">Centre</w:t>
      </w:r>
      <w:r w:rsidDel="00000000" w:rsidR="00000000" w:rsidRPr="00000000">
        <w:rPr>
          <w:color w:val="000000"/>
          <w:rtl w:val="0"/>
        </w:rPr>
        <w:t xml:space="preserve"> for Counter-</w:t>
      </w:r>
    </w:p>
    <w:p w:rsidR="00000000" w:rsidDel="00000000" w:rsidP="00000000" w:rsidRDefault="00000000" w:rsidRPr="00000000" w14:paraId="00000175">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Terrorism—The Hague 7, no. 6 (2016), 25-34.</w:t>
      </w:r>
    </w:p>
    <w:p w:rsidR="00000000" w:rsidDel="00000000" w:rsidP="00000000" w:rsidRDefault="00000000" w:rsidRPr="00000000" w14:paraId="00000176">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17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Nguyen, C. Thi (2020). Echo chambers and epistemic bubbles. </w:t>
      </w:r>
      <w:r w:rsidDel="00000000" w:rsidR="00000000" w:rsidRPr="00000000">
        <w:rPr>
          <w:i w:val="1"/>
          <w:color w:val="000000"/>
          <w:rtl w:val="0"/>
        </w:rPr>
        <w:t xml:space="preserve">Episteme </w:t>
      </w:r>
      <w:r w:rsidDel="00000000" w:rsidR="00000000" w:rsidRPr="00000000">
        <w:rPr>
          <w:color w:val="000000"/>
          <w:rtl w:val="0"/>
        </w:rPr>
        <w:t xml:space="preserve">17 (2):141-161.</w:t>
      </w:r>
    </w:p>
    <w:p w:rsidR="00000000" w:rsidDel="00000000" w:rsidP="00000000" w:rsidRDefault="00000000" w:rsidRPr="00000000" w14:paraId="0000017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7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“The Future of Extremism” in Berger, J. M. Extremism. MIT Press Essential Knowledge </w:t>
      </w:r>
    </w:p>
    <w:p w:rsidR="00000000" w:rsidDel="00000000" w:rsidP="00000000" w:rsidRDefault="00000000" w:rsidRPr="00000000" w14:paraId="0000017A">
      <w:pPr>
        <w:pBdr>
          <w:top w:space="0" w:sz="0" w:val="nil"/>
          <w:left w:space="0" w:sz="0" w:val="nil"/>
          <w:bottom w:space="0" w:sz="0" w:val="nil"/>
          <w:right w:space="0" w:sz="0" w:val="nil"/>
          <w:between w:space="0" w:sz="0" w:val="nil"/>
        </w:pBdr>
        <w:ind w:firstLine="720"/>
        <w:rPr>
          <w:color w:val="000000"/>
        </w:rPr>
      </w:pPr>
      <w:r w:rsidDel="00000000" w:rsidR="00000000" w:rsidRPr="00000000">
        <w:rPr>
          <w:color w:val="000000"/>
          <w:rtl w:val="0"/>
        </w:rPr>
        <w:t xml:space="preserve">Series. Cambridge, Massachusetts: MIT Press, 2018, 145-168.</w:t>
      </w:r>
    </w:p>
    <w:p w:rsidR="00000000" w:rsidDel="00000000" w:rsidP="00000000" w:rsidRDefault="00000000" w:rsidRPr="00000000" w14:paraId="0000017B">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17C">
      <w:pPr>
        <w:pBdr>
          <w:top w:space="0" w:sz="0" w:val="nil"/>
          <w:left w:space="0" w:sz="0" w:val="nil"/>
          <w:bottom w:space="0" w:sz="0" w:val="nil"/>
          <w:right w:space="0" w:sz="0" w:val="nil"/>
          <w:between w:space="0" w:sz="0" w:val="nil"/>
        </w:pBdr>
        <w:tabs>
          <w:tab w:val="left" w:pos="90"/>
        </w:tabs>
        <w:rPr>
          <w:color w:val="000000"/>
        </w:rPr>
      </w:pPr>
      <w:r w:rsidDel="00000000" w:rsidR="00000000" w:rsidRPr="00000000">
        <w:rPr>
          <w:rtl w:val="0"/>
        </w:rPr>
      </w:r>
    </w:p>
    <w:p w:rsidR="00000000" w:rsidDel="00000000" w:rsidP="00000000" w:rsidRDefault="00000000" w:rsidRPr="00000000" w14:paraId="0000017D">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Week 15 (May 11): </w:t>
      </w:r>
      <w:r w:rsidDel="00000000" w:rsidR="00000000" w:rsidRPr="00000000">
        <w:rPr>
          <w:color w:val="000000"/>
          <w:rtl w:val="0"/>
        </w:rPr>
        <w:t xml:space="preserve"> </w:t>
      </w:r>
    </w:p>
    <w:p w:rsidR="00000000" w:rsidDel="00000000" w:rsidP="00000000" w:rsidRDefault="00000000" w:rsidRPr="00000000" w14:paraId="0000017E">
      <w:pPr>
        <w:pBdr>
          <w:top w:color="000000" w:space="1" w:sz="4" w:val="single"/>
          <w:left w:color="000000" w:space="4" w:sz="4" w:val="single"/>
          <w:bottom w:color="000000" w:space="1" w:sz="4" w:val="single"/>
          <w:right w:color="000000" w:space="4" w:sz="4" w:val="single"/>
          <w:between w:space="0" w:sz="0" w:val="nil"/>
        </w:pBdr>
        <w:tabs>
          <w:tab w:val="left" w:pos="90"/>
        </w:tabs>
        <w:jc w:val="center"/>
        <w:rPr>
          <w:color w:val="000000"/>
        </w:rPr>
      </w:pPr>
      <w:r w:rsidDel="00000000" w:rsidR="00000000" w:rsidRPr="00000000">
        <w:rPr>
          <w:b w:val="1"/>
          <w:color w:val="000000"/>
          <w:rtl w:val="0"/>
        </w:rPr>
        <w:t xml:space="preserve">Review</w:t>
      </w:r>
      <w:r w:rsidDel="00000000" w:rsidR="00000000" w:rsidRPr="00000000">
        <w:rPr>
          <w:rtl w:val="0"/>
        </w:rPr>
      </w:r>
    </w:p>
    <w:p w:rsidR="00000000" w:rsidDel="00000000" w:rsidP="00000000" w:rsidRDefault="00000000" w:rsidRPr="00000000" w14:paraId="0000017F">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180">
      <w:pPr>
        <w:pBdr>
          <w:top w:space="0" w:sz="0" w:val="nil"/>
          <w:left w:space="0" w:sz="0" w:val="nil"/>
          <w:bottom w:space="0" w:sz="0" w:val="nil"/>
          <w:right w:space="0" w:sz="0" w:val="nil"/>
          <w:between w:space="0" w:sz="0" w:val="nil"/>
        </w:pBdr>
        <w:jc w:val="center"/>
        <w:rPr>
          <w:color w:val="000000"/>
        </w:rPr>
      </w:pPr>
      <w:r w:rsidDel="00000000" w:rsidR="00000000" w:rsidRPr="00000000">
        <w:rPr>
          <w:color w:val="000000"/>
          <w:rtl w:val="0"/>
        </w:rPr>
        <w:t xml:space="preserve">Review Session</w:t>
      </w:r>
    </w:p>
    <w:p w:rsidR="00000000" w:rsidDel="00000000" w:rsidP="00000000" w:rsidRDefault="00000000" w:rsidRPr="00000000" w14:paraId="00000181">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182">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183">
      <w:pPr>
        <w:pBdr>
          <w:top w:space="0" w:sz="0" w:val="nil"/>
          <w:left w:space="0" w:sz="0" w:val="nil"/>
          <w:bottom w:space="0" w:sz="0" w:val="nil"/>
          <w:right w:space="0" w:sz="0" w:val="nil"/>
          <w:between w:space="0" w:sz="0" w:val="nil"/>
        </w:pBdr>
        <w:ind w:firstLine="720"/>
        <w:rPr>
          <w:color w:val="000000"/>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jc w:val="center"/>
        <w:rPr>
          <w:color w:val="000000"/>
        </w:rPr>
      </w:pPr>
      <w:r w:rsidDel="00000000" w:rsidR="00000000" w:rsidRPr="00000000">
        <w:rPr>
          <w:b w:val="1"/>
          <w:color w:val="000000"/>
          <w:rtl w:val="0"/>
        </w:rPr>
        <w:t xml:space="preserve">Final Paper due date: </w:t>
      </w:r>
      <w:r w:rsidDel="00000000" w:rsidR="00000000" w:rsidRPr="00000000">
        <w:rPr>
          <w:b w:val="1"/>
          <w:rtl w:val="0"/>
        </w:rPr>
        <w:t xml:space="preserve">TB</w:t>
      </w:r>
      <w:r w:rsidDel="00000000" w:rsidR="00000000" w:rsidRPr="00000000">
        <w:rPr>
          <w:rtl w:val="0"/>
        </w:rPr>
      </w:r>
    </w:p>
    <w:p w:rsidR="00000000" w:rsidDel="00000000" w:rsidP="00000000" w:rsidRDefault="00000000" w:rsidRPr="00000000" w14:paraId="00000185">
      <w:pPr>
        <w:tabs>
          <w:tab w:val="left" w:pos="90"/>
          <w:tab w:val="center" w:pos="4680"/>
        </w:tabs>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tyle>
  <w:style w:type="paragraph" w:styleId="Heading2">
    <w:name w:val="heading 2"/>
    <w:basedOn w:val="Normal"/>
    <w:next w:val="Normal"/>
    <w:pPr>
      <w:keepNext w:val="1"/>
      <w:jc w:val="center"/>
    </w:pPr>
    <w:rPr>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i w:val="1"/>
      <w:sz w:val="28"/>
      <w:szCs w:val="28"/>
    </w:rPr>
  </w:style>
  <w:style w:type="paragraph" w:styleId="Subtitle">
    <w:name w:val="Subtitle"/>
    <w:basedOn w:val="Normal"/>
    <w:next w:val="Normal"/>
    <w:pPr>
      <w:jc w:val="center"/>
    </w:pPr>
    <w:rPr>
      <w:i w:val="1"/>
    </w:rPr>
  </w:style>
</w:styles>
</file>

<file path=word/_rels/document.xml.rels><?xml version="1.0" encoding="UTF-8" standalone="yes"?><Relationships xmlns="http://schemas.openxmlformats.org/package/2006/relationships"><Relationship Id="rId20" Type="http://schemas.openxmlformats.org/officeDocument/2006/relationships/hyperlink" Target="https://www.yadvashem.org/odot_pdf/Microsoft%20Word%20-%204029.pdf" TargetMode="External"/><Relationship Id="rId22" Type="http://schemas.openxmlformats.org/officeDocument/2006/relationships/hyperlink" Target="https://www.youtube.com/watch?v=HSozqaVcOU8" TargetMode="External"/><Relationship Id="rId21" Type="http://schemas.openxmlformats.org/officeDocument/2006/relationships/hyperlink" Target="https://scholarship.law.campbell.edu/fac_sw/157" TargetMode="External"/><Relationship Id="rId24" Type="http://schemas.openxmlformats.org/officeDocument/2006/relationships/hyperlink" Target="https://www.youtube.com/watch?v=Ykm_MklxX8Y" TargetMode="External"/><Relationship Id="rId23" Type="http://schemas.openxmlformats.org/officeDocument/2006/relationships/hyperlink" Target="https://www.indexoncensorship.org/2017/08/commissar-vanish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xtension.harvard.edu/for-students/student-policies-conduct/academic-integrity/" TargetMode="External"/><Relationship Id="rId25" Type="http://schemas.openxmlformats.org/officeDocument/2006/relationships/hyperlink" Target="https://portside.org/2018-05-24/tariq-ali-1968-and-today" TargetMode="External"/><Relationship Id="rId5" Type="http://schemas.openxmlformats.org/officeDocument/2006/relationships/styles" Target="styles.xml"/><Relationship Id="rId6" Type="http://schemas.openxmlformats.org/officeDocument/2006/relationships/hyperlink" Target="https://youtu.be/5eeXTOKbh3E" TargetMode="External"/><Relationship Id="rId7" Type="http://schemas.openxmlformats.org/officeDocument/2006/relationships/hyperlink" Target="mailto:vpetrovic@g.harvard.edu" TargetMode="External"/><Relationship Id="rId8" Type="http://schemas.openxmlformats.org/officeDocument/2006/relationships/hyperlink" Target="https://extension.harvard.edu/for-students/support-and-services/accessibility-services/" TargetMode="External"/><Relationship Id="rId11" Type="http://schemas.openxmlformats.org/officeDocument/2006/relationships/hyperlink" Target="https://www.youtube.com/watch?v=1XaZYmLVvQ8&amp;list=PLfFmlaaSoqz6F5Bg909_Z99x95oTmxzp0" TargetMode="External"/><Relationship Id="rId10" Type="http://schemas.openxmlformats.org/officeDocument/2006/relationships/hyperlink" Target="https://extension.harvard.edu/for-students/support-and-services/using-sources-effectively-and-responsibly/" TargetMode="External"/><Relationship Id="rId13" Type="http://schemas.openxmlformats.org/officeDocument/2006/relationships/hyperlink" Target="https://publicintelligence.net/anders-behring-breiviks-complete-manifesto-2083-a-european-declaration-of-independence/" TargetMode="External"/><Relationship Id="rId12" Type="http://schemas.openxmlformats.org/officeDocument/2006/relationships/hyperlink" Target="https://users.clas.ufl.edu/burt/spaceshotsairheads/HofstaderparanoidstyleHarpers.pdf" TargetMode="External"/><Relationship Id="rId15" Type="http://schemas.openxmlformats.org/officeDocument/2006/relationships/hyperlink" Target="https://digitalarchive.wilsoncenter.org/document/115995.pdf?v=3c22b71b65bcbbe9fdfadead9419c995" TargetMode="External"/><Relationship Id="rId14" Type="http://schemas.openxmlformats.org/officeDocument/2006/relationships/hyperlink" Target="https://sourcebooks.fordham.edu/mod/robespierre-terror.asp" TargetMode="External"/><Relationship Id="rId17" Type="http://schemas.openxmlformats.org/officeDocument/2006/relationships/hyperlink" Target="https://www.youtube.com/watch?v=XruYsAmKLyU" TargetMode="External"/><Relationship Id="rId16" Type="http://schemas.openxmlformats.org/officeDocument/2006/relationships/hyperlink" Target="https://www.bellingcat.com/news/uk-and-europe/2021/01/27/navalny-poison-squad-implicated-in-murders-of-three-russian-activists/" TargetMode="External"/><Relationship Id="rId19" Type="http://schemas.openxmlformats.org/officeDocument/2006/relationships/hyperlink" Target="http://avalon.law.yale.edu/imt/wannsee.asp" TargetMode="External"/><Relationship Id="rId18" Type="http://schemas.openxmlformats.org/officeDocument/2006/relationships/hyperlink" Target="https://www.jewishvirtuallibrary.org/the-ldquo-protocols-of-the-elders-of-zion-rdqu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